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2F719" w14:textId="03410C61" w:rsidR="00871F8C" w:rsidRDefault="00A609F0" w:rsidP="00A609F0">
      <w:pPr>
        <w:tabs>
          <w:tab w:val="center" w:pos="4536"/>
          <w:tab w:val="right" w:pos="8280"/>
          <w:tab w:val="right" w:pos="9639"/>
        </w:tabs>
        <w:ind w:right="2"/>
        <w:rPr>
          <w:rFonts w:ascii="Arial" w:hAnsi="Arial" w:cs="Arial"/>
          <w:b/>
          <w:bCs/>
        </w:rPr>
      </w:pPr>
      <w:bookmarkStart w:id="0" w:name="_GoBack"/>
      <w:bookmarkEnd w:id="0"/>
      <w:r w:rsidRPr="00435F1E">
        <w:rPr>
          <w:rFonts w:ascii="Arial" w:hAnsi="Arial" w:cs="Arial"/>
          <w:b/>
          <w:bCs/>
        </w:rPr>
        <w:t>3GPP TSG RAN WG1 #98</w:t>
      </w:r>
      <w:r w:rsidR="00A41B9C">
        <w:rPr>
          <w:rFonts w:ascii="Arial" w:hAnsi="Arial" w:cs="Arial"/>
          <w:b/>
          <w:bCs/>
        </w:rPr>
        <w:t>bis</w:t>
      </w:r>
      <w:r w:rsidRPr="00435F1E">
        <w:rPr>
          <w:rFonts w:ascii="Arial" w:hAnsi="Arial" w:cs="Arial"/>
          <w:b/>
          <w:bCs/>
        </w:rPr>
        <w:tab/>
      </w:r>
      <w:r w:rsidRPr="00435F1E">
        <w:rPr>
          <w:rFonts w:ascii="Arial" w:hAnsi="Arial" w:cs="Arial"/>
          <w:b/>
          <w:bCs/>
        </w:rPr>
        <w:tab/>
      </w:r>
      <w:r w:rsidR="00871F8C">
        <w:rPr>
          <w:rFonts w:ascii="Arial" w:hAnsi="Arial" w:cs="Arial"/>
          <w:b/>
          <w:bCs/>
        </w:rPr>
        <w:tab/>
      </w:r>
      <w:r w:rsidR="00871F8C" w:rsidRPr="00871F8C">
        <w:rPr>
          <w:rFonts w:ascii="Arial" w:hAnsi="Arial" w:cs="Arial"/>
          <w:b/>
          <w:bCs/>
        </w:rPr>
        <w:t>R1-19</w:t>
      </w:r>
      <w:r w:rsidR="003A3B4F">
        <w:rPr>
          <w:rFonts w:ascii="Arial" w:hAnsi="Arial" w:cs="Arial"/>
          <w:b/>
          <w:bCs/>
        </w:rPr>
        <w:t>10964</w:t>
      </w:r>
    </w:p>
    <w:p w14:paraId="4C1C6137" w14:textId="3C337582" w:rsidR="00A609F0" w:rsidRPr="00435F1E" w:rsidRDefault="00A41B9C" w:rsidP="00A609F0">
      <w:pPr>
        <w:tabs>
          <w:tab w:val="center" w:pos="4536"/>
          <w:tab w:val="right" w:pos="9072"/>
        </w:tabs>
        <w:rPr>
          <w:rFonts w:ascii="Arial" w:eastAsia="MS Mincho" w:hAnsi="Arial" w:cs="Arial"/>
          <w:b/>
          <w:bCs/>
          <w:lang w:eastAsia="ja-JP"/>
        </w:rPr>
      </w:pPr>
      <w:r>
        <w:rPr>
          <w:rFonts w:ascii="Arial" w:eastAsia="MS Mincho" w:hAnsi="Arial" w:cs="Arial"/>
          <w:b/>
          <w:bCs/>
          <w:lang w:eastAsia="ja-JP"/>
        </w:rPr>
        <w:t>Chongqing</w:t>
      </w:r>
      <w:r w:rsidR="00A609F0" w:rsidRPr="00435F1E">
        <w:rPr>
          <w:rFonts w:ascii="Arial" w:eastAsia="MS Mincho" w:hAnsi="Arial" w:cs="Arial"/>
          <w:b/>
          <w:bCs/>
          <w:lang w:eastAsia="ja-JP"/>
        </w:rPr>
        <w:t>, C</w:t>
      </w:r>
      <w:r w:rsidR="00805EE1">
        <w:rPr>
          <w:rFonts w:ascii="Arial" w:eastAsia="MS Mincho" w:hAnsi="Arial" w:cs="Arial"/>
          <w:b/>
          <w:bCs/>
          <w:lang w:eastAsia="ja-JP"/>
        </w:rPr>
        <w:t>hina</w:t>
      </w:r>
      <w:r w:rsidR="00A609F0" w:rsidRPr="00435F1E">
        <w:rPr>
          <w:rFonts w:ascii="Arial" w:eastAsia="MS Mincho" w:hAnsi="Arial" w:cs="Arial"/>
          <w:b/>
          <w:bCs/>
          <w:lang w:eastAsia="ja-JP"/>
        </w:rPr>
        <w:t xml:space="preserve">, </w:t>
      </w:r>
      <w:r>
        <w:rPr>
          <w:rFonts w:ascii="Arial" w:eastAsia="MS Mincho" w:hAnsi="Arial" w:cs="Arial"/>
          <w:b/>
          <w:bCs/>
          <w:lang w:eastAsia="ja-JP"/>
        </w:rPr>
        <w:t>October</w:t>
      </w:r>
      <w:r w:rsidR="00A609F0" w:rsidRPr="00435F1E">
        <w:rPr>
          <w:rFonts w:ascii="Arial" w:eastAsia="MS Mincho" w:hAnsi="Arial" w:cs="Arial"/>
          <w:b/>
          <w:bCs/>
          <w:lang w:eastAsia="ja-JP"/>
        </w:rPr>
        <w:t xml:space="preserve"> </w:t>
      </w:r>
      <w:r>
        <w:rPr>
          <w:rFonts w:ascii="Arial" w:eastAsia="MS Mincho" w:hAnsi="Arial" w:cs="Arial"/>
          <w:b/>
          <w:bCs/>
          <w:lang w:eastAsia="ja-JP"/>
        </w:rPr>
        <w:t>14</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xml:space="preserve"> – </w:t>
      </w:r>
      <w:r>
        <w:rPr>
          <w:rFonts w:ascii="Arial" w:eastAsia="MS Mincho" w:hAnsi="Arial" w:cs="Arial"/>
          <w:b/>
          <w:bCs/>
          <w:lang w:eastAsia="ja-JP"/>
        </w:rPr>
        <w:t>2</w:t>
      </w:r>
      <w:r w:rsidR="00A609F0" w:rsidRPr="00435F1E">
        <w:rPr>
          <w:rFonts w:ascii="Arial" w:eastAsia="MS Mincho" w:hAnsi="Arial" w:cs="Arial"/>
          <w:b/>
          <w:bCs/>
          <w:lang w:eastAsia="ja-JP"/>
        </w:rPr>
        <w:t>0</w:t>
      </w:r>
      <w:r w:rsidR="00A609F0" w:rsidRPr="00435F1E">
        <w:rPr>
          <w:rFonts w:ascii="Arial" w:eastAsia="MS Mincho" w:hAnsi="Arial" w:cs="Arial"/>
          <w:b/>
          <w:bCs/>
          <w:vertAlign w:val="superscript"/>
          <w:lang w:eastAsia="ja-JP"/>
        </w:rPr>
        <w:t>th</w:t>
      </w:r>
      <w:r w:rsidR="00A609F0"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1CA5239A" w:rsidR="00531215" w:rsidRPr="00CB472F" w:rsidRDefault="003D3C45" w:rsidP="00311702">
      <w:pPr>
        <w:pStyle w:val="3GPPHeader"/>
      </w:pPr>
      <w:r w:rsidRPr="00CB472F">
        <w:t>Title:</w:t>
      </w:r>
      <w:r w:rsidR="00E90E49" w:rsidRPr="00CB472F">
        <w:tab/>
      </w:r>
      <w:r w:rsidR="00391702" w:rsidRPr="00042BAB">
        <w:rPr>
          <w:lang w:eastAsia="x-none"/>
        </w:rPr>
        <w:t>NR V2X Sidelink Physical Layer Procedures</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7C78F5B5" w14:textId="6B762B45" w:rsidR="00CF7F94" w:rsidRDefault="00CF7F94" w:rsidP="007F1BA7">
      <w:pPr>
        <w:jc w:val="both"/>
        <w:rPr>
          <w:szCs w:val="20"/>
          <w:lang w:eastAsia="x-none"/>
        </w:rPr>
      </w:pPr>
      <w:r>
        <w:rPr>
          <w:szCs w:val="20"/>
          <w:lang w:eastAsia="x-none"/>
        </w:rPr>
        <w:t xml:space="preserve">The </w:t>
      </w:r>
      <w:r w:rsidR="00F0142B">
        <w:rPr>
          <w:szCs w:val="20"/>
          <w:lang w:eastAsia="x-none"/>
        </w:rPr>
        <w:t xml:space="preserve">NR V2X sidelink physical layer procedures </w:t>
      </w:r>
      <w:r>
        <w:rPr>
          <w:szCs w:val="20"/>
          <w:lang w:eastAsia="x-none"/>
        </w:rPr>
        <w:t>ha</w:t>
      </w:r>
      <w:r w:rsidR="00F0142B">
        <w:rPr>
          <w:szCs w:val="20"/>
          <w:lang w:eastAsia="x-none"/>
        </w:rPr>
        <w:t>ve</w:t>
      </w:r>
      <w:r>
        <w:rPr>
          <w:szCs w:val="20"/>
          <w:lang w:eastAsia="x-none"/>
        </w:rPr>
        <w:t xml:space="preserve"> been discussed in the past several RAN1 meetings. It was agreed in </w:t>
      </w:r>
      <w:r>
        <w:rPr>
          <w:szCs w:val="20"/>
          <w:lang w:eastAsia="x-none"/>
        </w:rPr>
        <w:fldChar w:fldCharType="begin"/>
      </w:r>
      <w:r>
        <w:rPr>
          <w:szCs w:val="20"/>
          <w:lang w:eastAsia="x-none"/>
        </w:rPr>
        <w:instrText xml:space="preserve"> REF _Ref20471832 \r \h </w:instrText>
      </w:r>
      <w:r>
        <w:rPr>
          <w:szCs w:val="20"/>
          <w:lang w:eastAsia="x-none"/>
        </w:rPr>
      </w:r>
      <w:r>
        <w:rPr>
          <w:szCs w:val="20"/>
          <w:lang w:eastAsia="x-none"/>
        </w:rPr>
        <w:fldChar w:fldCharType="separate"/>
      </w:r>
      <w:r w:rsidR="002F66F6">
        <w:rPr>
          <w:szCs w:val="20"/>
          <w:lang w:eastAsia="x-none"/>
        </w:rPr>
        <w:t>[1]</w:t>
      </w:r>
      <w:r>
        <w:rPr>
          <w:szCs w:val="20"/>
          <w:lang w:eastAsia="x-none"/>
        </w:rPr>
        <w:fldChar w:fldCharType="end"/>
      </w:r>
      <w:r>
        <w:rPr>
          <w:szCs w:val="20"/>
          <w:lang w:eastAsia="x-none"/>
        </w:rPr>
        <w:t xml:space="preserve"> that  </w:t>
      </w:r>
    </w:p>
    <w:p w14:paraId="04C88FEC" w14:textId="77777777" w:rsidR="00663C77" w:rsidRPr="00663C77" w:rsidRDefault="00663C77" w:rsidP="007F1BA7">
      <w:pPr>
        <w:jc w:val="both"/>
        <w:rPr>
          <w:szCs w:val="20"/>
          <w:lang w:eastAsia="x-none"/>
        </w:rPr>
      </w:pPr>
    </w:p>
    <w:p w14:paraId="60CD0B19" w14:textId="77777777" w:rsidR="00663C77" w:rsidRPr="00663C77" w:rsidRDefault="00663C77" w:rsidP="00663C77">
      <w:pPr>
        <w:rPr>
          <w:lang w:eastAsia="x-none"/>
        </w:rPr>
      </w:pPr>
      <w:r w:rsidRPr="00663C77">
        <w:rPr>
          <w:highlight w:val="green"/>
          <w:lang w:eastAsia="x-none"/>
        </w:rPr>
        <w:t>Agreements</w:t>
      </w:r>
      <w:r w:rsidRPr="00663C77">
        <w:rPr>
          <w:lang w:eastAsia="x-none"/>
        </w:rPr>
        <w:t>:</w:t>
      </w:r>
    </w:p>
    <w:p w14:paraId="352FA230" w14:textId="77777777" w:rsidR="00663C77" w:rsidRPr="00663C77" w:rsidRDefault="00663C77" w:rsidP="00663C77">
      <w:pPr>
        <w:pStyle w:val="LGTdoc"/>
        <w:numPr>
          <w:ilvl w:val="0"/>
          <w:numId w:val="25"/>
        </w:numPr>
        <w:spacing w:afterLines="0" w:line="240" w:lineRule="auto"/>
        <w:rPr>
          <w:sz w:val="24"/>
          <w:lang w:val="en-US"/>
        </w:rPr>
      </w:pPr>
      <w:r w:rsidRPr="00663C77">
        <w:rPr>
          <w:sz w:val="24"/>
          <w:lang w:val="en-US"/>
        </w:rPr>
        <w:t>For PSSCH-to-HARQ feedback timing, to down-select:</w:t>
      </w:r>
    </w:p>
    <w:p w14:paraId="7F6DD8AF" w14:textId="77777777" w:rsidR="00663C77" w:rsidRPr="00663C77" w:rsidRDefault="00663C77" w:rsidP="00663C77">
      <w:pPr>
        <w:pStyle w:val="LGTdoc"/>
        <w:numPr>
          <w:ilvl w:val="1"/>
          <w:numId w:val="25"/>
        </w:numPr>
        <w:spacing w:afterLines="0" w:line="240" w:lineRule="auto"/>
        <w:rPr>
          <w:sz w:val="24"/>
          <w:lang w:val="en-US"/>
        </w:rPr>
      </w:pPr>
      <w:r w:rsidRPr="00663C77">
        <w:rPr>
          <w:sz w:val="24"/>
          <w:lang w:val="en-US"/>
        </w:rPr>
        <w:t>Option 1: K is the number of logical slots (i.e., the slots within the resource pool)</w:t>
      </w:r>
    </w:p>
    <w:p w14:paraId="341EBC31" w14:textId="77777777" w:rsidR="00663C77" w:rsidRPr="00663C77" w:rsidRDefault="00663C77" w:rsidP="00663C77">
      <w:pPr>
        <w:pStyle w:val="LGTdoc"/>
        <w:numPr>
          <w:ilvl w:val="1"/>
          <w:numId w:val="25"/>
        </w:numPr>
        <w:spacing w:afterLines="0" w:line="240" w:lineRule="auto"/>
        <w:rPr>
          <w:sz w:val="24"/>
          <w:lang w:val="en-US"/>
        </w:rPr>
      </w:pPr>
      <w:r w:rsidRPr="00663C77">
        <w:rPr>
          <w:sz w:val="24"/>
          <w:lang w:val="en-US"/>
        </w:rPr>
        <w:t>Option 2: K is the number of physical slots (i.e., the slots within and outside the resource pool)</w:t>
      </w:r>
    </w:p>
    <w:p w14:paraId="1A267F24" w14:textId="77777777" w:rsidR="00663C77" w:rsidRPr="00663C77" w:rsidRDefault="00663C77" w:rsidP="00663C77">
      <w:pPr>
        <w:pStyle w:val="LGTdoc"/>
        <w:numPr>
          <w:ilvl w:val="1"/>
          <w:numId w:val="25"/>
        </w:numPr>
        <w:spacing w:afterLines="0" w:line="240" w:lineRule="auto"/>
        <w:rPr>
          <w:sz w:val="24"/>
          <w:lang w:val="en-US"/>
        </w:rPr>
      </w:pPr>
      <w:r w:rsidRPr="00663C77">
        <w:rPr>
          <w:sz w:val="24"/>
          <w:lang w:val="en-US"/>
        </w:rPr>
        <w:t>FFS how to determine K.</w:t>
      </w:r>
    </w:p>
    <w:p w14:paraId="51E84BAA" w14:textId="77777777" w:rsidR="00663C77" w:rsidRPr="00663C77" w:rsidRDefault="00663C77" w:rsidP="00663C77">
      <w:pPr>
        <w:rPr>
          <w:lang w:eastAsia="x-none"/>
        </w:rPr>
      </w:pPr>
      <w:r w:rsidRPr="00663C77">
        <w:rPr>
          <w:highlight w:val="green"/>
          <w:lang w:eastAsia="x-none"/>
        </w:rPr>
        <w:t>Agreements</w:t>
      </w:r>
      <w:r w:rsidRPr="00663C77">
        <w:rPr>
          <w:lang w:eastAsia="x-none"/>
        </w:rPr>
        <w:t>:</w:t>
      </w:r>
    </w:p>
    <w:p w14:paraId="57AB8C74" w14:textId="77777777" w:rsidR="00663C77" w:rsidRPr="00663C77" w:rsidRDefault="00663C77" w:rsidP="00663C77">
      <w:pPr>
        <w:pStyle w:val="LGTdoc"/>
        <w:numPr>
          <w:ilvl w:val="0"/>
          <w:numId w:val="26"/>
        </w:numPr>
        <w:spacing w:afterLines="0" w:line="240" w:lineRule="auto"/>
        <w:rPr>
          <w:sz w:val="24"/>
          <w:lang w:val="en-US"/>
        </w:rPr>
      </w:pPr>
      <w:r w:rsidRPr="00663C77">
        <w:rPr>
          <w:sz w:val="24"/>
          <w:lang w:val="en-US"/>
        </w:rPr>
        <w:t xml:space="preserve">For TX-RX distance-based </w:t>
      </w:r>
      <w:r w:rsidRPr="00663C77">
        <w:rPr>
          <w:rFonts w:eastAsia="SimSun"/>
          <w:sz w:val="24"/>
          <w:lang w:val="en-US" w:eastAsia="zh-CN"/>
        </w:rPr>
        <w:t xml:space="preserve">HARQ feedback for groupcast Option 1, </w:t>
      </w:r>
    </w:p>
    <w:p w14:paraId="6B3813DB" w14:textId="77777777" w:rsidR="00663C77" w:rsidRPr="00663C77" w:rsidRDefault="00663C77" w:rsidP="00663C77">
      <w:pPr>
        <w:pStyle w:val="LGTdoc"/>
        <w:numPr>
          <w:ilvl w:val="1"/>
          <w:numId w:val="26"/>
        </w:numPr>
        <w:spacing w:afterLines="0" w:line="240" w:lineRule="auto"/>
        <w:rPr>
          <w:sz w:val="24"/>
          <w:lang w:val="en-US"/>
        </w:rPr>
      </w:pPr>
      <w:r w:rsidRPr="00663C77">
        <w:rPr>
          <w:rFonts w:eastAsia="SimSun"/>
          <w:sz w:val="24"/>
          <w:lang w:val="en-US" w:eastAsia="zh-CN"/>
        </w:rPr>
        <w:t>The location information of TX UE is indicated by the 2</w:t>
      </w:r>
      <w:r w:rsidRPr="00663C77">
        <w:rPr>
          <w:rFonts w:eastAsia="SimSun"/>
          <w:sz w:val="24"/>
          <w:vertAlign w:val="superscript"/>
          <w:lang w:val="en-US" w:eastAsia="zh-CN"/>
        </w:rPr>
        <w:t>nd</w:t>
      </w:r>
      <w:r w:rsidRPr="00663C77">
        <w:rPr>
          <w:rFonts w:eastAsia="SimSun"/>
          <w:sz w:val="24"/>
          <w:lang w:val="en-US" w:eastAsia="zh-CN"/>
        </w:rPr>
        <w:t xml:space="preserve"> stage SCI payload </w:t>
      </w:r>
    </w:p>
    <w:p w14:paraId="615EB0F7" w14:textId="77777777" w:rsidR="00663C77" w:rsidRPr="00663C77" w:rsidRDefault="00663C77" w:rsidP="00663C77">
      <w:pPr>
        <w:pStyle w:val="LGTdoc"/>
        <w:numPr>
          <w:ilvl w:val="2"/>
          <w:numId w:val="26"/>
        </w:numPr>
        <w:spacing w:afterLines="0" w:line="240" w:lineRule="auto"/>
        <w:rPr>
          <w:sz w:val="24"/>
          <w:lang w:val="en-US"/>
        </w:rPr>
      </w:pPr>
      <w:r w:rsidRPr="00663C77">
        <w:rPr>
          <w:rFonts w:eastAsia="SimSun"/>
          <w:sz w:val="24"/>
          <w:lang w:val="en-US" w:eastAsia="zh-CN"/>
        </w:rPr>
        <w:t>FFS whether/how higher layer signaling is also used in signaling the location information</w:t>
      </w:r>
    </w:p>
    <w:p w14:paraId="244317E4" w14:textId="4C7A7F1B" w:rsidR="00663C77" w:rsidRPr="00663C77" w:rsidRDefault="00663C77" w:rsidP="00663C77">
      <w:pPr>
        <w:pStyle w:val="LGTdoc"/>
        <w:numPr>
          <w:ilvl w:val="1"/>
          <w:numId w:val="26"/>
        </w:numPr>
        <w:spacing w:afterLines="0" w:line="240" w:lineRule="auto"/>
        <w:rPr>
          <w:sz w:val="24"/>
          <w:lang w:val="en-US"/>
        </w:rPr>
      </w:pPr>
      <w:r w:rsidRPr="00663C77">
        <w:rPr>
          <w:rFonts w:eastAsia="SimSun"/>
          <w:sz w:val="24"/>
          <w:lang w:val="en-US" w:eastAsia="zh-CN"/>
        </w:rPr>
        <w:t>FFS whether/how to handle when the location information is not available at TX and/or RX UE.</w:t>
      </w:r>
    </w:p>
    <w:p w14:paraId="53642808" w14:textId="77777777" w:rsidR="00663C77" w:rsidRPr="00663C77" w:rsidRDefault="00663C77" w:rsidP="00663C77">
      <w:pPr>
        <w:jc w:val="both"/>
        <w:rPr>
          <w:lang w:eastAsia="x-none"/>
        </w:rPr>
      </w:pPr>
      <w:r w:rsidRPr="00663C77">
        <w:rPr>
          <w:highlight w:val="green"/>
          <w:lang w:eastAsia="x-none"/>
        </w:rPr>
        <w:t>Agreements</w:t>
      </w:r>
      <w:r w:rsidRPr="00663C77">
        <w:rPr>
          <w:lang w:eastAsia="x-none"/>
        </w:rPr>
        <w:t>:</w:t>
      </w:r>
    </w:p>
    <w:p w14:paraId="4460A00F" w14:textId="77777777" w:rsidR="00663C77" w:rsidRPr="00663C77" w:rsidRDefault="00663C77" w:rsidP="00663C77">
      <w:pPr>
        <w:pStyle w:val="LGTdoc"/>
        <w:numPr>
          <w:ilvl w:val="0"/>
          <w:numId w:val="27"/>
        </w:numPr>
        <w:spacing w:afterLines="0" w:line="240" w:lineRule="auto"/>
        <w:rPr>
          <w:sz w:val="24"/>
          <w:lang w:val="en-US"/>
        </w:rPr>
      </w:pPr>
      <w:r w:rsidRPr="00663C77">
        <w:rPr>
          <w:sz w:val="24"/>
          <w:lang w:val="en-US"/>
        </w:rPr>
        <w:t>For Case 1 (PSFCH TX/RX overlap),</w:t>
      </w:r>
    </w:p>
    <w:p w14:paraId="49E94188" w14:textId="77777777" w:rsidR="00663C77" w:rsidRPr="00663C77" w:rsidRDefault="00663C77" w:rsidP="00663C77">
      <w:pPr>
        <w:pStyle w:val="LGTdoc"/>
        <w:numPr>
          <w:ilvl w:val="1"/>
          <w:numId w:val="27"/>
        </w:numPr>
        <w:spacing w:afterLines="0" w:line="240" w:lineRule="auto"/>
        <w:rPr>
          <w:sz w:val="24"/>
          <w:lang w:val="en-US"/>
        </w:rPr>
      </w:pPr>
      <w:r w:rsidRPr="00663C77">
        <w:rPr>
          <w:sz w:val="24"/>
          <w:lang w:val="en-US"/>
        </w:rPr>
        <w:t>Select PSFCH TX or RX based on priority rule</w:t>
      </w:r>
    </w:p>
    <w:p w14:paraId="1483CF55" w14:textId="77777777" w:rsidR="00663C77" w:rsidRPr="00663C77" w:rsidRDefault="00663C77" w:rsidP="00663C77">
      <w:pPr>
        <w:pStyle w:val="LGTdoc"/>
        <w:numPr>
          <w:ilvl w:val="2"/>
          <w:numId w:val="27"/>
        </w:numPr>
        <w:spacing w:afterLines="0" w:line="240" w:lineRule="auto"/>
        <w:rPr>
          <w:sz w:val="24"/>
          <w:lang w:val="en-US"/>
        </w:rPr>
      </w:pPr>
      <w:r w:rsidRPr="00663C77">
        <w:rPr>
          <w:sz w:val="24"/>
          <w:lang w:val="en-US"/>
        </w:rPr>
        <w:t>Priority rule is based on at least priority indication in the associated PSCCH/PSSCH.</w:t>
      </w:r>
    </w:p>
    <w:p w14:paraId="1FB5A9F3" w14:textId="77777777" w:rsidR="00663C77" w:rsidRPr="00663C77" w:rsidRDefault="00663C77" w:rsidP="00663C77">
      <w:pPr>
        <w:pStyle w:val="LGTdoc"/>
        <w:numPr>
          <w:ilvl w:val="2"/>
          <w:numId w:val="27"/>
        </w:numPr>
        <w:spacing w:afterLines="0" w:line="240" w:lineRule="auto"/>
        <w:rPr>
          <w:sz w:val="24"/>
          <w:lang w:val="en-US"/>
        </w:rPr>
      </w:pPr>
      <w:r w:rsidRPr="00663C77">
        <w:rPr>
          <w:sz w:val="24"/>
          <w:lang w:val="en-US"/>
        </w:rPr>
        <w:t>FFS: Other priority rule (e.g. TX/RX, cast type, HARQ state, HARQ feedback option, number of (re)transmission of PSCCH/PSSCH), up to UE implementation</w:t>
      </w:r>
    </w:p>
    <w:p w14:paraId="1745A05A" w14:textId="77777777" w:rsidR="00663C77" w:rsidRPr="00663C77" w:rsidRDefault="00663C77" w:rsidP="00663C77">
      <w:pPr>
        <w:pStyle w:val="LGTdoc"/>
        <w:numPr>
          <w:ilvl w:val="0"/>
          <w:numId w:val="27"/>
        </w:numPr>
        <w:spacing w:afterLines="0" w:line="240" w:lineRule="auto"/>
        <w:rPr>
          <w:sz w:val="24"/>
          <w:lang w:val="en-US"/>
        </w:rPr>
      </w:pPr>
      <w:r w:rsidRPr="00663C77">
        <w:rPr>
          <w:sz w:val="24"/>
          <w:lang w:val="en-US"/>
        </w:rPr>
        <w:t>For Case 2 (PSFCH TX to multiple UEs),</w:t>
      </w:r>
    </w:p>
    <w:p w14:paraId="652564B3" w14:textId="77777777" w:rsidR="00663C77" w:rsidRPr="00663C77" w:rsidRDefault="00663C77" w:rsidP="00663C77">
      <w:pPr>
        <w:pStyle w:val="LGTdoc"/>
        <w:numPr>
          <w:ilvl w:val="1"/>
          <w:numId w:val="27"/>
        </w:numPr>
        <w:spacing w:afterLines="0" w:line="240" w:lineRule="auto"/>
        <w:rPr>
          <w:sz w:val="24"/>
          <w:lang w:val="en-US"/>
        </w:rPr>
      </w:pPr>
      <w:r w:rsidRPr="00663C77">
        <w:rPr>
          <w:sz w:val="24"/>
          <w:lang w:val="en-US"/>
        </w:rPr>
        <w:t xml:space="preserve">Select </w:t>
      </w:r>
      <w:r w:rsidRPr="00663C77">
        <w:rPr>
          <w:i/>
          <w:sz w:val="24"/>
          <w:lang w:val="en-US"/>
        </w:rPr>
        <w:t>N</w:t>
      </w:r>
      <w:r w:rsidRPr="00663C77">
        <w:rPr>
          <w:sz w:val="24"/>
          <w:lang w:val="en-US"/>
        </w:rPr>
        <w:t xml:space="preserve"> PSFCH(s) transmissions based on priority rule</w:t>
      </w:r>
    </w:p>
    <w:p w14:paraId="66951638" w14:textId="77777777" w:rsidR="00663C77" w:rsidRPr="00663C77" w:rsidRDefault="00663C77" w:rsidP="00663C77">
      <w:pPr>
        <w:pStyle w:val="LGTdoc"/>
        <w:numPr>
          <w:ilvl w:val="2"/>
          <w:numId w:val="27"/>
        </w:numPr>
        <w:spacing w:afterLines="0" w:line="240" w:lineRule="auto"/>
        <w:rPr>
          <w:sz w:val="24"/>
          <w:lang w:val="en-US"/>
        </w:rPr>
      </w:pPr>
      <w:r w:rsidRPr="00663C77">
        <w:rPr>
          <w:sz w:val="24"/>
          <w:lang w:val="en-US"/>
        </w:rPr>
        <w:t>Priority rule is based on at least priority indication in the associated PSCCH/PSSCH.</w:t>
      </w:r>
    </w:p>
    <w:p w14:paraId="00825177" w14:textId="77777777" w:rsidR="00663C77" w:rsidRPr="00663C77" w:rsidRDefault="00663C77" w:rsidP="00663C77">
      <w:pPr>
        <w:pStyle w:val="LGTdoc"/>
        <w:numPr>
          <w:ilvl w:val="2"/>
          <w:numId w:val="27"/>
        </w:numPr>
        <w:spacing w:afterLines="0" w:line="240" w:lineRule="auto"/>
        <w:rPr>
          <w:sz w:val="24"/>
          <w:lang w:val="en-US"/>
        </w:rPr>
      </w:pPr>
      <w:r w:rsidRPr="00663C77">
        <w:rPr>
          <w:sz w:val="24"/>
          <w:lang w:val="en-US"/>
        </w:rPr>
        <w:t>FFS: Other priority rule (e.g. cast type, HARQ state, HARQ feedback option, number of (re)transmission of PSCCH/PSSCH, collision status, etc.), up to UE implementation</w:t>
      </w:r>
    </w:p>
    <w:p w14:paraId="227C0405" w14:textId="77777777" w:rsidR="00663C77" w:rsidRPr="00663C77" w:rsidRDefault="00663C77" w:rsidP="00663C77">
      <w:pPr>
        <w:pStyle w:val="LGTdoc"/>
        <w:numPr>
          <w:ilvl w:val="0"/>
          <w:numId w:val="27"/>
        </w:numPr>
        <w:spacing w:afterLines="0" w:line="240" w:lineRule="auto"/>
        <w:rPr>
          <w:sz w:val="24"/>
          <w:lang w:val="en-US"/>
        </w:rPr>
      </w:pPr>
      <w:r w:rsidRPr="00663C77">
        <w:rPr>
          <w:sz w:val="24"/>
          <w:lang w:val="en-US"/>
        </w:rPr>
        <w:t>For Case 3 (PSFCH TX with multiple HARQ feedback to the same UE),</w:t>
      </w:r>
    </w:p>
    <w:p w14:paraId="0AB2F9BB" w14:textId="77777777" w:rsidR="00663C77" w:rsidRPr="00663C77" w:rsidRDefault="00663C77" w:rsidP="00663C77">
      <w:pPr>
        <w:pStyle w:val="LGTdoc"/>
        <w:numPr>
          <w:ilvl w:val="1"/>
          <w:numId w:val="27"/>
        </w:numPr>
        <w:spacing w:afterLines="0" w:line="240" w:lineRule="auto"/>
        <w:rPr>
          <w:sz w:val="24"/>
          <w:lang w:val="en-US"/>
        </w:rPr>
      </w:pPr>
      <w:r w:rsidRPr="00663C77">
        <w:rPr>
          <w:sz w:val="24"/>
          <w:lang w:val="en-US"/>
        </w:rPr>
        <w:t>FFS including whether to support multiple HARQ feedback bits are multiplexed on a PSFCH, whether to apply the solution of Case 2</w:t>
      </w:r>
    </w:p>
    <w:p w14:paraId="0F23259C" w14:textId="77777777" w:rsidR="00663C77" w:rsidRPr="00663C77" w:rsidRDefault="00663C77" w:rsidP="00663C77">
      <w:pPr>
        <w:pStyle w:val="LGTdoc"/>
        <w:numPr>
          <w:ilvl w:val="0"/>
          <w:numId w:val="27"/>
        </w:numPr>
        <w:spacing w:afterLines="0" w:line="240" w:lineRule="auto"/>
        <w:rPr>
          <w:sz w:val="24"/>
          <w:lang w:val="en-US"/>
        </w:rPr>
      </w:pPr>
      <w:r w:rsidRPr="00663C77">
        <w:rPr>
          <w:sz w:val="24"/>
          <w:lang w:val="en-US"/>
        </w:rPr>
        <w:t xml:space="preserve">Send LS to RAN4 to ask the feasibility of simultaneous transmission of multiple PSFCH, and the maximum value of </w:t>
      </w:r>
      <w:r w:rsidRPr="00663C77">
        <w:rPr>
          <w:i/>
          <w:sz w:val="24"/>
          <w:lang w:val="en-US"/>
        </w:rPr>
        <w:t>N</w:t>
      </w:r>
      <w:r w:rsidRPr="00663C77">
        <w:rPr>
          <w:sz w:val="24"/>
          <w:lang w:val="en-US"/>
        </w:rPr>
        <w:t xml:space="preserve"> if feasible (draft LS in </w:t>
      </w:r>
      <w:r w:rsidRPr="00663C77">
        <w:rPr>
          <w:b/>
          <w:bCs/>
          <w:sz w:val="24"/>
          <w:lang w:val="en-US"/>
        </w:rPr>
        <w:t>R1-1909873</w:t>
      </w:r>
      <w:r w:rsidRPr="00663C77">
        <w:rPr>
          <w:sz w:val="24"/>
          <w:lang w:val="en-US"/>
        </w:rPr>
        <w:t xml:space="preserve">, </w:t>
      </w:r>
      <w:r w:rsidRPr="00663C77">
        <w:rPr>
          <w:sz w:val="24"/>
          <w:highlight w:val="cyan"/>
          <w:lang w:val="en-US"/>
        </w:rPr>
        <w:t>email approval till 9/5 – Hanbyul, LGE</w:t>
      </w:r>
      <w:r w:rsidRPr="00663C77">
        <w:rPr>
          <w:sz w:val="24"/>
          <w:lang w:val="en-US"/>
        </w:rPr>
        <w:t>)</w:t>
      </w:r>
    </w:p>
    <w:p w14:paraId="52668303" w14:textId="77777777" w:rsidR="00663C77" w:rsidRPr="00663C77" w:rsidRDefault="00663C77" w:rsidP="00663C77">
      <w:pPr>
        <w:pStyle w:val="LGTdoc"/>
        <w:numPr>
          <w:ilvl w:val="1"/>
          <w:numId w:val="27"/>
        </w:numPr>
        <w:spacing w:afterLines="0" w:line="240" w:lineRule="auto"/>
        <w:rPr>
          <w:sz w:val="24"/>
          <w:lang w:val="en-US"/>
        </w:rPr>
      </w:pPr>
      <w:r w:rsidRPr="00663C77">
        <w:rPr>
          <w:sz w:val="24"/>
          <w:lang w:val="en-US"/>
        </w:rPr>
        <w:t xml:space="preserve">Inform that no conclusion is made in RAN1 regarding whether the transmit power </w:t>
      </w:r>
      <w:r w:rsidRPr="00663C77">
        <w:rPr>
          <w:sz w:val="24"/>
          <w:lang w:val="en-US"/>
        </w:rPr>
        <w:lastRenderedPageBreak/>
        <w:t>of PSFCH transmitted at the same time is the same or not when N&gt;1.</w:t>
      </w:r>
    </w:p>
    <w:p w14:paraId="41BCE82A" w14:textId="77777777" w:rsidR="00663C77" w:rsidRPr="00663C77" w:rsidRDefault="00663C77" w:rsidP="00663C77">
      <w:pPr>
        <w:pStyle w:val="LGTdoc"/>
        <w:numPr>
          <w:ilvl w:val="1"/>
          <w:numId w:val="27"/>
        </w:numPr>
        <w:spacing w:afterLines="0" w:line="240" w:lineRule="auto"/>
        <w:rPr>
          <w:sz w:val="24"/>
          <w:lang w:val="en-US"/>
        </w:rPr>
      </w:pPr>
      <w:r w:rsidRPr="00663C77">
        <w:rPr>
          <w:sz w:val="24"/>
          <w:lang w:val="en-US"/>
        </w:rPr>
        <w:t>Including the current RAN1 agreement on PSFCH design</w:t>
      </w:r>
    </w:p>
    <w:p w14:paraId="538C3A60" w14:textId="77777777" w:rsidR="00CF7F94" w:rsidRDefault="00CF7F94" w:rsidP="001E7281"/>
    <w:p w14:paraId="6914B841" w14:textId="03BA7583" w:rsidR="00805EE1" w:rsidRPr="001E7281" w:rsidRDefault="00664811" w:rsidP="00CF7F94">
      <w:pPr>
        <w:jc w:val="both"/>
      </w:pPr>
      <w:r>
        <w:t xml:space="preserve">In this contribution, we </w:t>
      </w:r>
      <w:r w:rsidR="00CF7F94">
        <w:t xml:space="preserve">provide our views on sidelink </w:t>
      </w:r>
      <w:r w:rsidR="008B65A4">
        <w:t xml:space="preserve">power control, </w:t>
      </w:r>
      <w:r w:rsidR="00CF7F94">
        <w:t xml:space="preserve">HARQ, </w:t>
      </w:r>
      <w:r w:rsidR="008B65A4">
        <w:t>CSI acquisition</w:t>
      </w:r>
      <w:r w:rsidR="00CF7F94">
        <w:t xml:space="preserve"> and </w:t>
      </w:r>
      <w:r w:rsidR="008B65A4">
        <w:t>TBS determination</w:t>
      </w:r>
      <w:r>
        <w:t xml:space="preserve">. </w:t>
      </w:r>
    </w:p>
    <w:p w14:paraId="423292B6" w14:textId="52A0CAD7" w:rsidR="00EA5A5B" w:rsidRDefault="00EA5A5B" w:rsidP="006F0C31">
      <w:pPr>
        <w:pStyle w:val="Heading1"/>
      </w:pPr>
      <w:r>
        <w:t>Discussion</w:t>
      </w:r>
    </w:p>
    <w:p w14:paraId="6A1990E6" w14:textId="0182E5DB" w:rsidR="00CF7F94" w:rsidRDefault="00663C77" w:rsidP="00186C28">
      <w:pPr>
        <w:pStyle w:val="Heading2"/>
        <w:ind w:left="720" w:hanging="720"/>
        <w:rPr>
          <w:sz w:val="28"/>
        </w:rPr>
      </w:pPr>
      <w:r>
        <w:rPr>
          <w:sz w:val="28"/>
        </w:rPr>
        <w:t>Sidelink Power Control</w:t>
      </w:r>
    </w:p>
    <w:p w14:paraId="23D758DD" w14:textId="74A644BE" w:rsidR="00071554" w:rsidRDefault="009429C2" w:rsidP="00D95D3C">
      <w:pPr>
        <w:jc w:val="both"/>
        <w:rPr>
          <w:bCs/>
          <w:iCs/>
        </w:rPr>
      </w:pPr>
      <w:r>
        <w:rPr>
          <w:bCs/>
          <w:iCs/>
        </w:rPr>
        <w:t xml:space="preserve">In LTE V2X, the EPRE of PSCCH is 3 dB more than that of PSSCH so as to increase PSCCH coverage. However, such PSCCH power boosting is not applicable to NR V2X. </w:t>
      </w:r>
    </w:p>
    <w:p w14:paraId="5964DABF" w14:textId="77777777" w:rsidR="009429C2" w:rsidRDefault="009429C2" w:rsidP="00D95D3C">
      <w:pPr>
        <w:jc w:val="both"/>
        <w:rPr>
          <w:bCs/>
          <w:iCs/>
        </w:rPr>
      </w:pPr>
    </w:p>
    <w:p w14:paraId="08F00E98" w14:textId="65ECA2A9" w:rsidR="009429C2" w:rsidRDefault="009429C2" w:rsidP="00D95D3C">
      <w:pPr>
        <w:jc w:val="both"/>
        <w:rPr>
          <w:bCs/>
          <w:iCs/>
        </w:rPr>
      </w:pPr>
      <w:r>
        <w:rPr>
          <w:bCs/>
          <w:iCs/>
        </w:rPr>
        <w:t xml:space="preserve">It was agreed </w:t>
      </w:r>
      <w:r>
        <w:rPr>
          <w:bCs/>
          <w:iCs/>
        </w:rPr>
        <w:fldChar w:fldCharType="begin"/>
      </w:r>
      <w:r>
        <w:rPr>
          <w:bCs/>
          <w:iCs/>
        </w:rPr>
        <w:instrText xml:space="preserve"> REF _Ref20574639 \r \h </w:instrText>
      </w:r>
      <w:r>
        <w:rPr>
          <w:bCs/>
          <w:iCs/>
        </w:rPr>
      </w:r>
      <w:r>
        <w:rPr>
          <w:bCs/>
          <w:iCs/>
        </w:rPr>
        <w:fldChar w:fldCharType="separate"/>
      </w:r>
      <w:r w:rsidR="002F66F6">
        <w:rPr>
          <w:bCs/>
          <w:iCs/>
        </w:rPr>
        <w:t>[2]</w:t>
      </w:r>
      <w:r>
        <w:rPr>
          <w:bCs/>
          <w:iCs/>
        </w:rPr>
        <w:fldChar w:fldCharType="end"/>
      </w:r>
      <w:r>
        <w:rPr>
          <w:bCs/>
          <w:iCs/>
        </w:rPr>
        <w:t xml:space="preserve"> that the total sidelink transmit power is the same in the symbols used for PSCCH/PSSCH transmissions in a slot. </w:t>
      </w:r>
      <w:r w:rsidR="003D40DD">
        <w:rPr>
          <w:bCs/>
          <w:iCs/>
        </w:rPr>
        <w:t>In</w:t>
      </w:r>
      <w:r>
        <w:rPr>
          <w:bCs/>
          <w:iCs/>
        </w:rPr>
        <w:t xml:space="preserve"> PSCCH and PSSCH multiplexing</w:t>
      </w:r>
      <w:r w:rsidR="003D40DD">
        <w:rPr>
          <w:bCs/>
          <w:iCs/>
        </w:rPr>
        <w:t xml:space="preserve"> Option 3</w:t>
      </w:r>
      <w:r>
        <w:rPr>
          <w:bCs/>
          <w:iCs/>
        </w:rPr>
        <w:t xml:space="preserve">, if PSCCH has power boosting, then the EPRE of PSSCH resources </w:t>
      </w:r>
      <w:r w:rsidR="003D40DD">
        <w:rPr>
          <w:bCs/>
          <w:iCs/>
        </w:rPr>
        <w:t>i</w:t>
      </w:r>
      <w:r>
        <w:rPr>
          <w:bCs/>
          <w:iCs/>
        </w:rPr>
        <w:t xml:space="preserve">n the same symbol as PSCCH should be decreased to maintain </w:t>
      </w:r>
      <w:r w:rsidR="003D40DD">
        <w:rPr>
          <w:bCs/>
          <w:iCs/>
        </w:rPr>
        <w:t xml:space="preserve">constant </w:t>
      </w:r>
      <w:r>
        <w:rPr>
          <w:bCs/>
          <w:iCs/>
        </w:rPr>
        <w:t>symbol transmit power</w:t>
      </w:r>
      <w:r w:rsidR="00043C7A">
        <w:rPr>
          <w:bCs/>
          <w:iCs/>
        </w:rPr>
        <w:t xml:space="preserve">. The power reduction on these PSSCH resources leads to </w:t>
      </w:r>
      <w:r w:rsidR="00CB54EC">
        <w:rPr>
          <w:bCs/>
          <w:iCs/>
        </w:rPr>
        <w:t xml:space="preserve">PSSCH </w:t>
      </w:r>
      <w:r w:rsidR="00043C7A">
        <w:rPr>
          <w:bCs/>
          <w:iCs/>
        </w:rPr>
        <w:t xml:space="preserve">decoding performance degradation. Furthermore, it is possible that the transmit power for PSCCH after its power boosting already exceeds the </w:t>
      </w:r>
      <w:r w:rsidR="00FF4BBA">
        <w:rPr>
          <w:bCs/>
          <w:iCs/>
        </w:rPr>
        <w:t xml:space="preserve">transmit power </w:t>
      </w:r>
      <w:r w:rsidR="00043C7A">
        <w:rPr>
          <w:bCs/>
          <w:iCs/>
        </w:rPr>
        <w:t xml:space="preserve">constant, especially when PSCCH occupies most of the frequency resources in a sub-channel. Hence, the power boosting on PSCCH </w:t>
      </w:r>
      <w:r w:rsidR="00FF4BBA">
        <w:rPr>
          <w:bCs/>
          <w:iCs/>
        </w:rPr>
        <w:t>should</w:t>
      </w:r>
      <w:r w:rsidR="00043C7A">
        <w:rPr>
          <w:bCs/>
          <w:iCs/>
        </w:rPr>
        <w:t xml:space="preserve"> not</w:t>
      </w:r>
      <w:r w:rsidR="00FF4BBA">
        <w:rPr>
          <w:bCs/>
          <w:iCs/>
        </w:rPr>
        <w:t xml:space="preserve"> be</w:t>
      </w:r>
      <w:r w:rsidR="00043C7A">
        <w:rPr>
          <w:bCs/>
          <w:iCs/>
        </w:rPr>
        <w:t xml:space="preserve"> supported. Instead, PSCCH coverage extension could be achieved by 2-stage SCI and higher PSCCH aggregation level</w:t>
      </w:r>
      <w:r w:rsidR="00CB54EC">
        <w:rPr>
          <w:bCs/>
          <w:iCs/>
        </w:rPr>
        <w:t xml:space="preserve">. </w:t>
      </w:r>
    </w:p>
    <w:p w14:paraId="2AF500C8" w14:textId="77777777" w:rsidR="00ED004B" w:rsidRPr="00ED004B" w:rsidRDefault="00ED004B" w:rsidP="004D2C18">
      <w:pPr>
        <w:rPr>
          <w:bCs/>
          <w:iCs/>
        </w:rPr>
      </w:pPr>
    </w:p>
    <w:p w14:paraId="4C781F01" w14:textId="4A19232A" w:rsidR="00CA7147" w:rsidRDefault="004D2C18" w:rsidP="005521B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663C77">
        <w:rPr>
          <w:i/>
        </w:rPr>
        <w:t>Power boosting on PSCCH is not supported</w:t>
      </w:r>
      <w:r w:rsidR="003953DD">
        <w:rPr>
          <w:i/>
        </w:rPr>
        <w:t>.</w:t>
      </w:r>
    </w:p>
    <w:p w14:paraId="65ACB831" w14:textId="5D29BC5A" w:rsidR="00FF4BBA" w:rsidRDefault="00FF4BBA" w:rsidP="005521B1">
      <w:pPr>
        <w:jc w:val="both"/>
        <w:rPr>
          <w:iCs/>
        </w:rPr>
      </w:pPr>
    </w:p>
    <w:p w14:paraId="466130C3" w14:textId="6B464E74" w:rsidR="002F66F6" w:rsidRDefault="00917FDA" w:rsidP="005521B1">
      <w:pPr>
        <w:jc w:val="both"/>
        <w:rPr>
          <w:iCs/>
        </w:rPr>
      </w:pPr>
      <w:r>
        <w:rPr>
          <w:iCs/>
        </w:rPr>
        <w:t xml:space="preserve">The application of sidelink pathloss based open-loop power control </w:t>
      </w:r>
      <w:r w:rsidR="003D40DD">
        <w:rPr>
          <w:iCs/>
        </w:rPr>
        <w:t>on</w:t>
      </w:r>
      <w:r>
        <w:rPr>
          <w:iCs/>
        </w:rPr>
        <w:t xml:space="preserve"> sidelink groupcast is still open. In our view, this should be supported for NR V2X. It could achieve reliable sidelink group communication while keeping low interference to UEs outside of </w:t>
      </w:r>
      <w:r w:rsidR="003D40DD">
        <w:rPr>
          <w:iCs/>
        </w:rPr>
        <w:t xml:space="preserve">the </w:t>
      </w:r>
      <w:r>
        <w:rPr>
          <w:iCs/>
        </w:rPr>
        <w:t xml:space="preserve">group. The main concern of supporting this feature is the </w:t>
      </w:r>
      <w:r w:rsidR="002F66F6">
        <w:rPr>
          <w:iCs/>
        </w:rPr>
        <w:t>heavy traffic load of reporting sidelink RSRP from receiver UEs. To address this concern, some restrictions can be added for using this feature.</w:t>
      </w:r>
    </w:p>
    <w:p w14:paraId="7819314E" w14:textId="77777777" w:rsidR="00CA7147" w:rsidRPr="00CA7147" w:rsidRDefault="00CA7147" w:rsidP="004D2C18">
      <w:pPr>
        <w:jc w:val="both"/>
      </w:pPr>
    </w:p>
    <w:p w14:paraId="25CB03E2" w14:textId="750A1D39" w:rsidR="00D2255E" w:rsidRDefault="001E7281" w:rsidP="00102859">
      <w:pPr>
        <w:jc w:val="both"/>
        <w:rPr>
          <w:i/>
        </w:rPr>
      </w:pPr>
      <w:r w:rsidRPr="001C381A">
        <w:rPr>
          <w:b/>
          <w:i/>
          <w:u w:val="single"/>
        </w:rPr>
        <w:t xml:space="preserve">Proposal </w:t>
      </w:r>
      <w:r w:rsidR="00173C80">
        <w:rPr>
          <w:b/>
          <w:i/>
          <w:u w:val="single"/>
        </w:rPr>
        <w:t>2</w:t>
      </w:r>
      <w:r w:rsidRPr="001C381A">
        <w:rPr>
          <w:b/>
          <w:i/>
          <w:u w:val="single"/>
        </w:rPr>
        <w:t>:</w:t>
      </w:r>
      <w:r w:rsidRPr="001C381A">
        <w:rPr>
          <w:i/>
        </w:rPr>
        <w:t xml:space="preserve"> </w:t>
      </w:r>
      <w:r w:rsidR="00663C77">
        <w:rPr>
          <w:i/>
        </w:rPr>
        <w:t>Sidelink pathloss based open-loop power control is supported for groupcast</w:t>
      </w:r>
      <w:r w:rsidR="003953DD">
        <w:rPr>
          <w:i/>
        </w:rPr>
        <w:t>.</w:t>
      </w:r>
    </w:p>
    <w:p w14:paraId="43372FF0" w14:textId="77777777" w:rsidR="00102859" w:rsidRPr="00102859" w:rsidRDefault="00102859" w:rsidP="00102859">
      <w:pPr>
        <w:jc w:val="both"/>
        <w:rPr>
          <w:iCs/>
        </w:rPr>
      </w:pPr>
    </w:p>
    <w:p w14:paraId="4D3ED0BC" w14:textId="72B57CDB" w:rsidR="00BA79F8" w:rsidRPr="002F66F6" w:rsidRDefault="00663C77" w:rsidP="002F66F6">
      <w:pPr>
        <w:pStyle w:val="Heading2"/>
        <w:ind w:left="720" w:hanging="720"/>
        <w:rPr>
          <w:iCs/>
          <w:sz w:val="28"/>
          <w:szCs w:val="28"/>
        </w:rPr>
      </w:pPr>
      <w:r>
        <w:rPr>
          <w:iCs/>
          <w:sz w:val="28"/>
          <w:szCs w:val="28"/>
        </w:rPr>
        <w:t>Sidelink HARQ</w:t>
      </w:r>
    </w:p>
    <w:p w14:paraId="7FB91F88" w14:textId="7A4237B2" w:rsidR="00BA318A" w:rsidRDefault="00BA79F8" w:rsidP="00663C77">
      <w:pPr>
        <w:jc w:val="both"/>
        <w:rPr>
          <w:iCs/>
        </w:rPr>
      </w:pPr>
      <w:r>
        <w:rPr>
          <w:iCs/>
        </w:rPr>
        <w:t xml:space="preserve">It was agreed </w:t>
      </w:r>
      <w:r>
        <w:rPr>
          <w:iCs/>
        </w:rPr>
        <w:fldChar w:fldCharType="begin"/>
      </w:r>
      <w:r>
        <w:rPr>
          <w:iCs/>
        </w:rPr>
        <w:instrText xml:space="preserve"> REF _Ref20574639 \r \h </w:instrText>
      </w:r>
      <w:r>
        <w:rPr>
          <w:iCs/>
        </w:rPr>
      </w:r>
      <w:r>
        <w:rPr>
          <w:iCs/>
        </w:rPr>
        <w:fldChar w:fldCharType="separate"/>
      </w:r>
      <w:r w:rsidR="002F66F6">
        <w:rPr>
          <w:iCs/>
        </w:rPr>
        <w:t>[2]</w:t>
      </w:r>
      <w:r>
        <w:rPr>
          <w:iCs/>
        </w:rPr>
        <w:fldChar w:fldCharType="end"/>
      </w:r>
      <w:r>
        <w:rPr>
          <w:iCs/>
        </w:rPr>
        <w:t xml:space="preserve"> that at least for groupcast </w:t>
      </w:r>
      <w:r w:rsidR="00AB1FEA">
        <w:rPr>
          <w:iCs/>
        </w:rPr>
        <w:t xml:space="preserve">HARQ feedback </w:t>
      </w:r>
      <w:r>
        <w:rPr>
          <w:iCs/>
        </w:rPr>
        <w:t>Option 1, i.e., HARQ-NACK only, the Tx-Rx distance-based HARQ feedback is supported.</w:t>
      </w:r>
      <w:r w:rsidR="00AB1FEA">
        <w:rPr>
          <w:iCs/>
        </w:rPr>
        <w:t xml:space="preserve"> In our view, the Tx-Rx distance-based HARQ feedback should not be applied for groupcast HARQ feedback Option 2. The main issue is that if a transmitter UE does not receive any HARQ ACK/NACK feedback from a receiver UE, it cannot distinguish the </w:t>
      </w:r>
      <w:r w:rsidR="00BA318A">
        <w:rPr>
          <w:iCs/>
        </w:rPr>
        <w:t>case where</w:t>
      </w:r>
      <w:r w:rsidR="00AB1FEA">
        <w:rPr>
          <w:iCs/>
        </w:rPr>
        <w:t xml:space="preserve"> the receiver UE </w:t>
      </w:r>
      <w:r w:rsidR="00BA318A">
        <w:rPr>
          <w:iCs/>
        </w:rPr>
        <w:t>decodes PSSCH transmission but does not feedback HARQ ACK/NACK due to large Tx-Rx distance and the case where the receiver UE does not receive PSCCH at all. Note that the transmitter UE is supposed to have different behaviors for these two cases. Specifically, the transmitter UE does not need to retransmit to the receiver UE for the former case, while it needs to retransmit to the receiver UE for the latter case. Due to the ambiguity caused by no feedback from receiver UE, it does not make sense to support the Tx-Rx distance-based HARQ feedback for groupcast</w:t>
      </w:r>
      <w:r w:rsidR="003D40DD">
        <w:rPr>
          <w:iCs/>
        </w:rPr>
        <w:t xml:space="preserve"> HARQ feedback</w:t>
      </w:r>
      <w:r w:rsidR="00BA318A">
        <w:rPr>
          <w:iCs/>
        </w:rPr>
        <w:t xml:space="preserve"> Option 2. </w:t>
      </w:r>
    </w:p>
    <w:p w14:paraId="034F8F9B" w14:textId="77777777" w:rsidR="0081405C" w:rsidRPr="00BA318A" w:rsidRDefault="0081405C" w:rsidP="00663C77">
      <w:pPr>
        <w:jc w:val="both"/>
        <w:rPr>
          <w:iCs/>
        </w:rPr>
      </w:pPr>
    </w:p>
    <w:p w14:paraId="6E44E47C" w14:textId="0DE4185D" w:rsidR="00663C77" w:rsidRDefault="00663C77" w:rsidP="00663C77">
      <w:pPr>
        <w:jc w:val="both"/>
        <w:rPr>
          <w:i/>
        </w:rPr>
      </w:pPr>
      <w:r w:rsidRPr="001C381A">
        <w:rPr>
          <w:b/>
          <w:i/>
          <w:u w:val="single"/>
        </w:rPr>
        <w:t xml:space="preserve">Proposal </w:t>
      </w:r>
      <w:r w:rsidR="0081405C">
        <w:rPr>
          <w:b/>
          <w:i/>
          <w:u w:val="single"/>
        </w:rPr>
        <w:t>3</w:t>
      </w:r>
      <w:r w:rsidRPr="001C381A">
        <w:rPr>
          <w:b/>
          <w:i/>
          <w:u w:val="single"/>
        </w:rPr>
        <w:t>:</w:t>
      </w:r>
      <w:r w:rsidRPr="001C381A">
        <w:rPr>
          <w:i/>
        </w:rPr>
        <w:t xml:space="preserve"> </w:t>
      </w:r>
      <w:r w:rsidRPr="00663C77">
        <w:rPr>
          <w:i/>
        </w:rPr>
        <w:t>The Tx-Rx distance-based HARQ feedback is not supported for groupcast</w:t>
      </w:r>
      <w:r w:rsidR="003D40DD">
        <w:rPr>
          <w:i/>
        </w:rPr>
        <w:t xml:space="preserve"> HARQ feedback</w:t>
      </w:r>
      <w:r w:rsidRPr="00663C77">
        <w:rPr>
          <w:i/>
        </w:rPr>
        <w:t xml:space="preserve"> Option 2</w:t>
      </w:r>
      <w:r>
        <w:rPr>
          <w:i/>
        </w:rPr>
        <w:t>.</w:t>
      </w:r>
    </w:p>
    <w:p w14:paraId="2B75EA25" w14:textId="65A465B4" w:rsidR="0081405C" w:rsidRDefault="0081405C" w:rsidP="00663C77">
      <w:pPr>
        <w:jc w:val="both"/>
        <w:rPr>
          <w:i/>
        </w:rPr>
      </w:pPr>
    </w:p>
    <w:p w14:paraId="5A9F7FB7" w14:textId="4E478CED" w:rsidR="003275BB" w:rsidRDefault="008B7CA5" w:rsidP="00663C77">
      <w:pPr>
        <w:jc w:val="both"/>
        <w:rPr>
          <w:iCs/>
        </w:rPr>
      </w:pPr>
      <w:r>
        <w:rPr>
          <w:iCs/>
        </w:rPr>
        <w:lastRenderedPageBreak/>
        <w:t xml:space="preserve">To support the Tx-Rx distance-based HARQ feedback for groupcast HARQ feedback Option 1, the transmitter UE’s location is indicated by SCI. The location information can be in the form of either zone ID or geographical coordinate. The concept of zone was introduced in LTE V2X in association with resource pool. </w:t>
      </w:r>
      <w:r w:rsidR="003275BB">
        <w:rPr>
          <w:iCs/>
        </w:rPr>
        <w:t xml:space="preserve">A zone is a rectangular area with edge size configurable from 5 meters to 500 meters. LTE V2X supports up to 16 </w:t>
      </w:r>
      <w:r w:rsidR="00042BAB">
        <w:rPr>
          <w:iCs/>
        </w:rPr>
        <w:t>z</w:t>
      </w:r>
      <w:r w:rsidR="003275BB">
        <w:rPr>
          <w:iCs/>
        </w:rPr>
        <w:t xml:space="preserve">one IDs. If </w:t>
      </w:r>
      <w:r w:rsidR="00042BAB">
        <w:rPr>
          <w:iCs/>
        </w:rPr>
        <w:t>a</w:t>
      </w:r>
      <w:r w:rsidR="003275BB">
        <w:rPr>
          <w:iCs/>
        </w:rPr>
        <w:t xml:space="preserve"> zone area is configured to be large, then the </w:t>
      </w:r>
      <w:r w:rsidR="00917FDA">
        <w:rPr>
          <w:iCs/>
        </w:rPr>
        <w:t>accuracy</w:t>
      </w:r>
      <w:r w:rsidR="003275BB">
        <w:rPr>
          <w:iCs/>
        </w:rPr>
        <w:t xml:space="preserve"> of transmitter UE’s location is sacrificed. If </w:t>
      </w:r>
      <w:r w:rsidR="00042BAB">
        <w:rPr>
          <w:iCs/>
        </w:rPr>
        <w:t>a</w:t>
      </w:r>
      <w:r w:rsidR="003275BB">
        <w:rPr>
          <w:iCs/>
        </w:rPr>
        <w:t xml:space="preserve"> zone area is configured to be small, </w:t>
      </w:r>
      <w:r w:rsidR="00042BAB">
        <w:rPr>
          <w:iCs/>
        </w:rPr>
        <w:t xml:space="preserve">then </w:t>
      </w:r>
      <w:r w:rsidR="003275BB">
        <w:rPr>
          <w:iCs/>
        </w:rPr>
        <w:t xml:space="preserve">the </w:t>
      </w:r>
      <w:r w:rsidR="00917FDA">
        <w:rPr>
          <w:iCs/>
        </w:rPr>
        <w:t>wraparound</w:t>
      </w:r>
      <w:r w:rsidR="003275BB">
        <w:rPr>
          <w:iCs/>
        </w:rPr>
        <w:t xml:space="preserve"> of zone IDs could lead to incorrect Tx-Rx distance calculation. </w:t>
      </w:r>
    </w:p>
    <w:p w14:paraId="1D473303" w14:textId="77777777" w:rsidR="003275BB" w:rsidRDefault="003275BB" w:rsidP="00663C77">
      <w:pPr>
        <w:jc w:val="both"/>
        <w:rPr>
          <w:iCs/>
        </w:rPr>
      </w:pPr>
    </w:p>
    <w:p w14:paraId="54C93993" w14:textId="1AE508F0" w:rsidR="008B7CA5" w:rsidRPr="00A260A4" w:rsidRDefault="003275BB" w:rsidP="00663C77">
      <w:pPr>
        <w:jc w:val="both"/>
        <w:rPr>
          <w:iCs/>
        </w:rPr>
      </w:pPr>
      <w:r>
        <w:rPr>
          <w:iCs/>
        </w:rPr>
        <w:t>On the other hand, geographical coordinate provides accurate location information without wra</w:t>
      </w:r>
      <w:r w:rsidR="00917FDA">
        <w:rPr>
          <w:iCs/>
        </w:rPr>
        <w:t>p</w:t>
      </w:r>
      <w:r>
        <w:rPr>
          <w:iCs/>
        </w:rPr>
        <w:t>around issue. However, the large payload size of a full geographical coordinate makes its transmissions in SCI infeasible</w:t>
      </w:r>
      <w:r w:rsidR="00042BAB">
        <w:rPr>
          <w:iCs/>
        </w:rPr>
        <w:t>, even though it is carried in SCI stage 2</w:t>
      </w:r>
      <w:r>
        <w:rPr>
          <w:iCs/>
        </w:rPr>
        <w:t xml:space="preserve">. Hence, a subset of the geographical coordinate bits is carried in SCI, while the remaining bits </w:t>
      </w:r>
      <w:r w:rsidR="00CA581E">
        <w:rPr>
          <w:iCs/>
        </w:rPr>
        <w:t>are</w:t>
      </w:r>
      <w:r>
        <w:rPr>
          <w:iCs/>
        </w:rPr>
        <w:t xml:space="preserve"> associated with resource pool or </w:t>
      </w:r>
      <w:r w:rsidR="00917FDA">
        <w:rPr>
          <w:iCs/>
        </w:rPr>
        <w:t>delivered in high layer messages</w:t>
      </w:r>
      <w:r>
        <w:rPr>
          <w:iCs/>
        </w:rPr>
        <w:t xml:space="preserve">. </w:t>
      </w:r>
    </w:p>
    <w:p w14:paraId="77C9E388" w14:textId="36B723D6" w:rsidR="003953DD" w:rsidRDefault="003953DD" w:rsidP="003953DD">
      <w:pPr>
        <w:jc w:val="both"/>
        <w:rPr>
          <w:i/>
        </w:rPr>
      </w:pPr>
    </w:p>
    <w:p w14:paraId="2AE6A6EE" w14:textId="560EF537" w:rsidR="00663C77" w:rsidRDefault="00663C77" w:rsidP="003953DD">
      <w:pPr>
        <w:jc w:val="both"/>
        <w:rPr>
          <w:i/>
        </w:rPr>
      </w:pPr>
      <w:r w:rsidRPr="001C381A">
        <w:rPr>
          <w:b/>
          <w:i/>
          <w:u w:val="single"/>
        </w:rPr>
        <w:t xml:space="preserve">Proposal </w:t>
      </w:r>
      <w:r w:rsidR="0081405C">
        <w:rPr>
          <w:b/>
          <w:i/>
          <w:u w:val="single"/>
        </w:rPr>
        <w:t>4</w:t>
      </w:r>
      <w:r w:rsidRPr="001C381A">
        <w:rPr>
          <w:b/>
          <w:i/>
          <w:u w:val="single"/>
        </w:rPr>
        <w:t>:</w:t>
      </w:r>
      <w:r w:rsidRPr="001C381A">
        <w:rPr>
          <w:i/>
        </w:rPr>
        <w:t xml:space="preserve"> </w:t>
      </w:r>
      <w:r w:rsidR="003275BB">
        <w:rPr>
          <w:i/>
        </w:rPr>
        <w:t xml:space="preserve">For sidelink groupcast </w:t>
      </w:r>
      <w:r w:rsidR="00CA581E">
        <w:rPr>
          <w:i/>
        </w:rPr>
        <w:t xml:space="preserve">HARQ feedback </w:t>
      </w:r>
      <w:r w:rsidR="003275BB">
        <w:rPr>
          <w:i/>
        </w:rPr>
        <w:t xml:space="preserve">Option </w:t>
      </w:r>
      <w:r w:rsidR="00EB02E8">
        <w:rPr>
          <w:i/>
        </w:rPr>
        <w:t>1</w:t>
      </w:r>
      <w:r w:rsidR="003275BB">
        <w:rPr>
          <w:i/>
        </w:rPr>
        <w:t>, SCI includes the g</w:t>
      </w:r>
      <w:r w:rsidRPr="00663C77">
        <w:rPr>
          <w:i/>
        </w:rPr>
        <w:t>eographical coordinat</w:t>
      </w:r>
      <w:r w:rsidR="008B7CA5">
        <w:rPr>
          <w:i/>
        </w:rPr>
        <w:t>e</w:t>
      </w:r>
      <w:r w:rsidRPr="00663C77">
        <w:rPr>
          <w:i/>
        </w:rPr>
        <w:t xml:space="preserve"> of </w:t>
      </w:r>
      <w:r w:rsidR="003275BB">
        <w:rPr>
          <w:i/>
        </w:rPr>
        <w:t>transmitter</w:t>
      </w:r>
      <w:r w:rsidRPr="00663C77">
        <w:rPr>
          <w:i/>
        </w:rPr>
        <w:t xml:space="preserve"> UE</w:t>
      </w:r>
      <w:r>
        <w:rPr>
          <w:i/>
        </w:rPr>
        <w:t>.</w:t>
      </w:r>
    </w:p>
    <w:p w14:paraId="3CF7D592" w14:textId="77777777" w:rsidR="0081405C" w:rsidRDefault="0081405C" w:rsidP="003953DD">
      <w:pPr>
        <w:jc w:val="both"/>
        <w:rPr>
          <w:i/>
        </w:rPr>
      </w:pPr>
    </w:p>
    <w:p w14:paraId="773FD38E" w14:textId="013FE5F0" w:rsidR="0081405C" w:rsidRDefault="0081405C" w:rsidP="0081405C">
      <w:pPr>
        <w:jc w:val="both"/>
      </w:pPr>
      <w:r>
        <w:t xml:space="preserve">One proposal from the email reflector discussions </w:t>
      </w:r>
      <w:r>
        <w:fldChar w:fldCharType="begin"/>
      </w:r>
      <w:r>
        <w:instrText xml:space="preserve"> REF _Ref20857444 \r \h </w:instrText>
      </w:r>
      <w:r>
        <w:fldChar w:fldCharType="separate"/>
      </w:r>
      <w:r w:rsidR="002F66F6">
        <w:t>[3]</w:t>
      </w:r>
      <w:r>
        <w:fldChar w:fldCharType="end"/>
      </w:r>
      <w:r>
        <w:t xml:space="preserve"> is to further discuss for a PSFCH format, </w:t>
      </w:r>
      <w:r w:rsidRPr="005E786E">
        <w:rPr>
          <w:rFonts w:hint="eastAsia"/>
        </w:rPr>
        <w:t>in the symbols that can be used for PSFCH transmissions in a resource pool, a set of frequency resources is (pre-)configured for the actual use of PSFCH transmissions</w:t>
      </w:r>
      <w:r>
        <w:t xml:space="preserve">. The main motivation is that not all the frequency resources are needed for PSFCH transmissions, and the unused frequency resources can be reserved for future usage, e.g., to support a new PSFCH format </w:t>
      </w:r>
      <w:r w:rsidR="00CA581E">
        <w:t>to carry</w:t>
      </w:r>
      <w:r>
        <w:t xml:space="preserve"> more than 2 bits. In our view, if a new short PSFCH format is introduced, it can share the frequency resources with the sequence</w:t>
      </w:r>
      <w:r w:rsidR="00CA581E">
        <w:t>-</w:t>
      </w:r>
      <w:r>
        <w:t>based PSFCH format. In other words, it is unclear whether the separation of frequency resources for different PSFCH formats is necessary.</w:t>
      </w:r>
    </w:p>
    <w:p w14:paraId="66A3E38C" w14:textId="77777777" w:rsidR="0081405C" w:rsidRPr="00BA79F8" w:rsidRDefault="0081405C" w:rsidP="0081405C"/>
    <w:p w14:paraId="592A9A89" w14:textId="57B7EDBF" w:rsidR="0081405C" w:rsidRPr="0081405C" w:rsidRDefault="0081405C" w:rsidP="0081405C">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For a PSFCH format, in the symbols that can be used for PSFCH transmissions in a resource pool, all the frequency resources should be usable for PSFCH transmissions.</w:t>
      </w:r>
    </w:p>
    <w:p w14:paraId="4B3346C7" w14:textId="77777777" w:rsidR="0081405C" w:rsidRDefault="0081405C" w:rsidP="0081405C">
      <w:pPr>
        <w:jc w:val="both"/>
      </w:pPr>
    </w:p>
    <w:p w14:paraId="1CA6F672" w14:textId="23B209DA" w:rsidR="0081405C" w:rsidRDefault="0081405C" w:rsidP="0081405C">
      <w:pPr>
        <w:jc w:val="both"/>
      </w:pPr>
      <w:r>
        <w:t>On</w:t>
      </w:r>
      <w:r w:rsidR="00A7460F">
        <w:t>e</w:t>
      </w:r>
      <w:r>
        <w:t xml:space="preserve"> conclusion from the email reflector discussions </w:t>
      </w:r>
      <w:r>
        <w:fldChar w:fldCharType="begin"/>
      </w:r>
      <w:r>
        <w:instrText xml:space="preserve"> REF _Ref20857444 \r \h </w:instrText>
      </w:r>
      <w:r>
        <w:fldChar w:fldCharType="separate"/>
      </w:r>
      <w:r w:rsidR="002F66F6">
        <w:t>[3]</w:t>
      </w:r>
      <w:r>
        <w:fldChar w:fldCharType="end"/>
      </w:r>
      <w:r>
        <w:t xml:space="preserve"> is that using a single </w:t>
      </w:r>
      <m:oMath>
        <m:r>
          <w:rPr>
            <w:rFonts w:ascii="Cambria Math" w:hAnsi="Cambria Math"/>
          </w:rPr>
          <m:t>K</m:t>
        </m:r>
      </m:oMath>
      <w:r>
        <w:t xml:space="preserve"> value for all UEs in a Rx resource pool, where </w:t>
      </w:r>
      <m:oMath>
        <m:r>
          <w:rPr>
            <w:rFonts w:ascii="Cambria Math" w:hAnsi="Cambria Math"/>
          </w:rPr>
          <m:t>K</m:t>
        </m:r>
      </m:oMath>
      <w:r w:rsidR="00534BA0">
        <w:t xml:space="preserve"> is the lower bound of the time gap between PSSCH and its associated PSFCH. This value, in the unit of slots, is to indicate the minimum processing time for sidelink HARQ feedback. One possible value of </w:t>
      </w:r>
      <m:oMath>
        <m:r>
          <w:rPr>
            <w:rFonts w:ascii="Cambria Math" w:hAnsi="Cambria Math"/>
          </w:rPr>
          <m:t>K</m:t>
        </m:r>
      </m:oMath>
      <w:r w:rsidR="00534BA0">
        <w:t xml:space="preserve"> (i.e., 2 slots) is supported. It is open whether to support the use of multiple </w:t>
      </w:r>
      <m:oMath>
        <m:r>
          <w:rPr>
            <w:rFonts w:ascii="Cambria Math" w:hAnsi="Cambria Math"/>
          </w:rPr>
          <m:t>K</m:t>
        </m:r>
      </m:oMath>
      <w:r w:rsidR="00534BA0">
        <w:t xml:space="preserve"> values in a resource pool.</w:t>
      </w:r>
      <w:r w:rsidR="00F623A7">
        <w:t xml:space="preserve"> In our view, the use of</w:t>
      </w:r>
      <w:r w:rsidR="00A7460F">
        <w:t xml:space="preserve"> different</w:t>
      </w:r>
      <w:r w:rsidR="00F623A7">
        <w:t xml:space="preserve"> </w:t>
      </w:r>
      <m:oMath>
        <m:r>
          <w:rPr>
            <w:rFonts w:ascii="Cambria Math" w:hAnsi="Cambria Math"/>
          </w:rPr>
          <m:t>K</m:t>
        </m:r>
      </m:oMath>
      <w:r w:rsidR="005A57E6">
        <w:t xml:space="preserve"> </w:t>
      </w:r>
      <w:r w:rsidR="00F623A7">
        <w:t xml:space="preserve">values </w:t>
      </w:r>
      <w:r w:rsidR="00A7460F">
        <w:t xml:space="preserve">for different UEs </w:t>
      </w:r>
      <w:r w:rsidR="00F623A7">
        <w:t xml:space="preserve">will </w:t>
      </w:r>
      <w:r w:rsidR="00A7460F">
        <w:t>cause potential PSFCH resource collision.</w:t>
      </w:r>
    </w:p>
    <w:p w14:paraId="01F66D23" w14:textId="77777777" w:rsidR="00A7460F" w:rsidRPr="00A7460F" w:rsidRDefault="00A7460F" w:rsidP="0081405C">
      <w:pPr>
        <w:jc w:val="both"/>
      </w:pPr>
    </w:p>
    <w:p w14:paraId="0451F4BB" w14:textId="5558E8AE" w:rsidR="00663C77" w:rsidRDefault="0081405C" w:rsidP="003953DD">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sidR="00F623A7">
        <w:rPr>
          <w:i/>
        </w:rPr>
        <w:t>Only a single K value is used for all UEs in a RX resource pool.</w:t>
      </w:r>
    </w:p>
    <w:p w14:paraId="4EE33C2B" w14:textId="77777777" w:rsidR="00F623A7" w:rsidRDefault="00F623A7" w:rsidP="003953DD">
      <w:pPr>
        <w:jc w:val="both"/>
        <w:rPr>
          <w:iCs/>
        </w:rPr>
      </w:pPr>
    </w:p>
    <w:p w14:paraId="371458B1" w14:textId="758947FA" w:rsidR="001B12F0" w:rsidRDefault="00A7460F" w:rsidP="003953DD">
      <w:pPr>
        <w:jc w:val="both"/>
      </w:pPr>
      <w:r>
        <w:rPr>
          <w:iCs/>
        </w:rPr>
        <w:t xml:space="preserve">Another conclusion from the email reflector discussions </w:t>
      </w:r>
      <w:r>
        <w:fldChar w:fldCharType="begin"/>
      </w:r>
      <w:r>
        <w:instrText xml:space="preserve"> REF _Ref20857444 \r \h </w:instrText>
      </w:r>
      <w:r>
        <w:fldChar w:fldCharType="separate"/>
      </w:r>
      <w:r w:rsidR="002F66F6">
        <w:t>[3]</w:t>
      </w:r>
      <w:r>
        <w:fldChar w:fldCharType="end"/>
      </w:r>
      <w:r>
        <w:t xml:space="preserve"> is that for implicit mechanism for PSFCH resource determination, support FDM between PSFCH resources used for PSSCH transmissions with different starting sub-channel in the same or different slots. </w:t>
      </w:r>
    </w:p>
    <w:p w14:paraId="38F39865" w14:textId="77777777" w:rsidR="001B12F0" w:rsidRDefault="001B12F0" w:rsidP="003953DD">
      <w:pPr>
        <w:jc w:val="both"/>
      </w:pPr>
    </w:p>
    <w:p w14:paraId="62CE86F4" w14:textId="63319ABC" w:rsidR="001B12F0" w:rsidRDefault="00A7460F" w:rsidP="003953DD">
      <w:pPr>
        <w:jc w:val="both"/>
      </w:pPr>
      <w:r>
        <w:t xml:space="preserve">It is open whether to support FDM between PSFCH resources used for PSSCH transmissions with same starting sub-channel in different slots. </w:t>
      </w:r>
      <w:r w:rsidR="001B12F0">
        <w:t>One concern</w:t>
      </w:r>
      <w:r w:rsidR="008F3160">
        <w:t xml:space="preserve"> of supporting it</w:t>
      </w:r>
      <w:r w:rsidR="001B12F0">
        <w:t xml:space="preserve"> is that the allocated PSFCH frequency resources for each PSSCH transmission is smaller than the minimum RB size required for AGC settling time for PSFCH reception.</w:t>
      </w:r>
      <w:r w:rsidR="008F3160">
        <w:t xml:space="preserve"> In our view, this minimum RB size requirement for AGC settling can be achieved by configuring a larger sub-channel size or configuring a smaller PSFCH periodicity. </w:t>
      </w:r>
    </w:p>
    <w:p w14:paraId="3234C270" w14:textId="05AF436C" w:rsidR="008F3160" w:rsidRDefault="008F3160" w:rsidP="003953DD">
      <w:pPr>
        <w:jc w:val="both"/>
      </w:pPr>
    </w:p>
    <w:p w14:paraId="467E7308" w14:textId="0F25BCF7" w:rsidR="008F3160" w:rsidRDefault="008F3160" w:rsidP="008F3160">
      <w:pPr>
        <w:jc w:val="both"/>
      </w:pPr>
      <w:r>
        <w:t xml:space="preserve">It is open whether to support CDM between PSFCH resources used for PSSCH transmissions. The option of CDM between PSFCH resources can result in near-far issue. Unless for groupcast HARQ </w:t>
      </w:r>
      <w:r>
        <w:lastRenderedPageBreak/>
        <w:t xml:space="preserve">feedback </w:t>
      </w:r>
      <w:r w:rsidR="00CA581E">
        <w:t>O</w:t>
      </w:r>
      <w:r>
        <w:t xml:space="preserve">ption 2 where the UEs in a group may be close to each other, we think the usage of CDM between PSFCH resources should be deprioritized.  </w:t>
      </w:r>
    </w:p>
    <w:p w14:paraId="656894C2" w14:textId="77777777" w:rsidR="00A7460F" w:rsidRPr="0081405C" w:rsidRDefault="00A7460F" w:rsidP="003953DD">
      <w:pPr>
        <w:jc w:val="both"/>
        <w:rPr>
          <w:iCs/>
        </w:rPr>
      </w:pPr>
    </w:p>
    <w:p w14:paraId="5C3A2671" w14:textId="49B72CE2" w:rsidR="00DF2B07" w:rsidRDefault="00663C77" w:rsidP="003953DD">
      <w:pPr>
        <w:jc w:val="both"/>
        <w:rPr>
          <w:i/>
        </w:rPr>
      </w:pPr>
      <w:r w:rsidRPr="001C381A">
        <w:rPr>
          <w:b/>
          <w:i/>
          <w:u w:val="single"/>
        </w:rPr>
        <w:t>Proposal</w:t>
      </w:r>
      <w:r w:rsidR="008F3160">
        <w:rPr>
          <w:b/>
          <w:i/>
          <w:u w:val="single"/>
        </w:rPr>
        <w:t xml:space="preserve"> 7</w:t>
      </w:r>
      <w:r w:rsidRPr="001C381A">
        <w:rPr>
          <w:b/>
          <w:i/>
          <w:u w:val="single"/>
        </w:rPr>
        <w:t>:</w:t>
      </w:r>
      <w:r w:rsidRPr="001C381A">
        <w:rPr>
          <w:i/>
        </w:rPr>
        <w:t xml:space="preserve"> </w:t>
      </w:r>
      <w:r w:rsidRPr="00663C77">
        <w:rPr>
          <w:i/>
        </w:rPr>
        <w:t>For implicit mechanism for PSFCH resource determination, support FDM between PSFCH resources used for HARQ feedback of PSSCH transmissions with same starting sub-channel in different slots.</w:t>
      </w:r>
    </w:p>
    <w:p w14:paraId="16434E04" w14:textId="77777777" w:rsidR="00DF2B07" w:rsidRDefault="00DF2B07" w:rsidP="003953DD">
      <w:pPr>
        <w:jc w:val="both"/>
        <w:rPr>
          <w:i/>
        </w:rPr>
      </w:pPr>
    </w:p>
    <w:p w14:paraId="35F5F872" w14:textId="097877BB" w:rsidR="00663C77" w:rsidRDefault="00663C77" w:rsidP="003953DD">
      <w:pPr>
        <w:jc w:val="both"/>
        <w:rPr>
          <w:i/>
        </w:rPr>
      </w:pPr>
      <w:r w:rsidRPr="001C381A">
        <w:rPr>
          <w:b/>
          <w:i/>
          <w:u w:val="single"/>
        </w:rPr>
        <w:t xml:space="preserve">Proposal </w:t>
      </w:r>
      <w:r w:rsidR="008F3160">
        <w:rPr>
          <w:b/>
          <w:i/>
          <w:u w:val="single"/>
        </w:rPr>
        <w:t>8</w:t>
      </w:r>
      <w:r w:rsidRPr="001C381A">
        <w:rPr>
          <w:b/>
          <w:i/>
          <w:u w:val="single"/>
        </w:rPr>
        <w:t>:</w:t>
      </w:r>
      <w:r w:rsidRPr="001C381A">
        <w:rPr>
          <w:i/>
        </w:rPr>
        <w:t xml:space="preserve"> </w:t>
      </w:r>
      <w:r w:rsidRPr="00663C77">
        <w:rPr>
          <w:i/>
        </w:rPr>
        <w:t xml:space="preserve">For implicit mechanism for PSFCH resource determination, do not support CDM between PSFCH resources used for HARQ feedback of PSSCH transmissions, except </w:t>
      </w:r>
      <w:r w:rsidR="008F3160">
        <w:rPr>
          <w:i/>
        </w:rPr>
        <w:t>for</w:t>
      </w:r>
      <w:r w:rsidRPr="00663C77">
        <w:rPr>
          <w:i/>
        </w:rPr>
        <w:t xml:space="preserve"> groupcast HARQ feedback </w:t>
      </w:r>
      <w:r w:rsidR="00CA581E">
        <w:rPr>
          <w:i/>
        </w:rPr>
        <w:t>O</w:t>
      </w:r>
      <w:r w:rsidRPr="00663C77">
        <w:rPr>
          <w:i/>
        </w:rPr>
        <w:t>ption 2.</w:t>
      </w:r>
    </w:p>
    <w:p w14:paraId="29C80836" w14:textId="160A52DB" w:rsidR="008F3160" w:rsidRDefault="008F3160" w:rsidP="003953DD">
      <w:pPr>
        <w:jc w:val="both"/>
        <w:rPr>
          <w:iCs/>
        </w:rPr>
      </w:pPr>
    </w:p>
    <w:p w14:paraId="0D9C4616" w14:textId="7AC5AD89" w:rsidR="00081C6F" w:rsidRDefault="00081C6F" w:rsidP="004C1C67">
      <w:pPr>
        <w:jc w:val="both"/>
        <w:rPr>
          <w:iCs/>
        </w:rPr>
      </w:pPr>
      <w:r>
        <w:rPr>
          <w:iCs/>
        </w:rPr>
        <w:t xml:space="preserve">Sidelink HARQ feedback can be enabled or disabled in unicast or groupcast by (pre-)configuration </w:t>
      </w:r>
      <w:r>
        <w:rPr>
          <w:iCs/>
        </w:rPr>
        <w:fldChar w:fldCharType="begin"/>
      </w:r>
      <w:r>
        <w:rPr>
          <w:iCs/>
        </w:rPr>
        <w:instrText xml:space="preserve"> REF _Ref20863937 \r \h </w:instrText>
      </w:r>
      <w:r>
        <w:rPr>
          <w:iCs/>
        </w:rPr>
      </w:r>
      <w:r>
        <w:rPr>
          <w:iCs/>
        </w:rPr>
        <w:fldChar w:fldCharType="separate"/>
      </w:r>
      <w:r w:rsidR="002F66F6">
        <w:rPr>
          <w:iCs/>
        </w:rPr>
        <w:t>[4]</w:t>
      </w:r>
      <w:r>
        <w:rPr>
          <w:iCs/>
        </w:rPr>
        <w:fldChar w:fldCharType="end"/>
      </w:r>
      <w:r>
        <w:rPr>
          <w:iCs/>
        </w:rPr>
        <w:t xml:space="preserve">. When HARQ feedback is configured to be enabled, it can be dynamically disabled depending on the Tx-Rx distance for groupcast HARQ feedback Option 1. The dynamically disabling sidelink HARQ feedback </w:t>
      </w:r>
      <w:r w:rsidR="00A260A4">
        <w:rPr>
          <w:iCs/>
        </w:rPr>
        <w:t>should</w:t>
      </w:r>
      <w:r>
        <w:rPr>
          <w:iCs/>
        </w:rPr>
        <w:t xml:space="preserve"> be supported </w:t>
      </w:r>
      <w:r w:rsidR="004C1C67">
        <w:rPr>
          <w:iCs/>
        </w:rPr>
        <w:t xml:space="preserve">in other conditions related to channel congestion or data QoS. For example, under congested channel conditions, a transmitter UE can dynamically disable HARQ feedback so as to alleviate channel congestion via stopping retransmissions. </w:t>
      </w:r>
    </w:p>
    <w:p w14:paraId="1711010A" w14:textId="77777777" w:rsidR="00081C6F" w:rsidRPr="00081C6F" w:rsidRDefault="00081C6F" w:rsidP="003953DD">
      <w:pPr>
        <w:jc w:val="both"/>
        <w:rPr>
          <w:iCs/>
        </w:rPr>
      </w:pPr>
    </w:p>
    <w:p w14:paraId="2BBC2608" w14:textId="1C0B5C72" w:rsidR="00663C77" w:rsidRDefault="00663C77" w:rsidP="003953DD">
      <w:pPr>
        <w:jc w:val="both"/>
        <w:rPr>
          <w:i/>
        </w:rPr>
      </w:pPr>
      <w:r w:rsidRPr="001C381A">
        <w:rPr>
          <w:b/>
          <w:i/>
          <w:u w:val="single"/>
        </w:rPr>
        <w:t xml:space="preserve">Proposal </w:t>
      </w:r>
      <w:r w:rsidR="002F66F6">
        <w:rPr>
          <w:b/>
          <w:i/>
          <w:u w:val="single"/>
        </w:rPr>
        <w:t>9</w:t>
      </w:r>
      <w:r w:rsidRPr="001C381A">
        <w:rPr>
          <w:b/>
          <w:i/>
          <w:u w:val="single"/>
        </w:rPr>
        <w:t>:</w:t>
      </w:r>
      <w:r w:rsidRPr="001C381A">
        <w:rPr>
          <w:i/>
        </w:rPr>
        <w:t xml:space="preserve"> </w:t>
      </w:r>
      <w:r w:rsidRPr="00663C77">
        <w:rPr>
          <w:i/>
        </w:rPr>
        <w:t xml:space="preserve">Support to dynamically disable HARQ feedback </w:t>
      </w:r>
      <w:r w:rsidR="005A57E6">
        <w:rPr>
          <w:i/>
        </w:rPr>
        <w:t xml:space="preserve">based on channel congestion or data QoS, </w:t>
      </w:r>
      <w:r w:rsidRPr="00663C77">
        <w:rPr>
          <w:i/>
        </w:rPr>
        <w:t>when HARQ feedback is enabled by configuration.</w:t>
      </w:r>
    </w:p>
    <w:p w14:paraId="1BBDA82C" w14:textId="77777777" w:rsidR="00663C77" w:rsidRDefault="00663C77" w:rsidP="003953DD">
      <w:pPr>
        <w:jc w:val="both"/>
        <w:rPr>
          <w:i/>
        </w:rPr>
      </w:pPr>
    </w:p>
    <w:p w14:paraId="20E1AE6F" w14:textId="4FFF7BF3" w:rsidR="00186C28" w:rsidRDefault="00E25B36" w:rsidP="0026499F">
      <w:pPr>
        <w:pStyle w:val="Heading2"/>
        <w:ind w:left="720" w:hanging="720"/>
        <w:rPr>
          <w:sz w:val="28"/>
        </w:rPr>
      </w:pPr>
      <w:r>
        <w:rPr>
          <w:sz w:val="28"/>
        </w:rPr>
        <w:t>S</w:t>
      </w:r>
      <w:r w:rsidR="00663C77">
        <w:rPr>
          <w:sz w:val="28"/>
        </w:rPr>
        <w:t>idelink CSI acquisition</w:t>
      </w:r>
    </w:p>
    <w:p w14:paraId="1742F43E" w14:textId="6ABCAE89" w:rsidR="00C10765" w:rsidRDefault="00BD5578" w:rsidP="00BD5578">
      <w:pPr>
        <w:jc w:val="both"/>
      </w:pPr>
      <w:r>
        <w:t xml:space="preserve">For sidelink unicast CSI acquisition, only CQI and RI reporting is supported and multi-rank PSSCH transmission is supported up to two antenna ports </w:t>
      </w:r>
      <w:r>
        <w:fldChar w:fldCharType="begin"/>
      </w:r>
      <w:r>
        <w:instrText xml:space="preserve"> REF _Ref20899868 \r \h  \* MERGEFORMAT </w:instrText>
      </w:r>
      <w:r>
        <w:fldChar w:fldCharType="separate"/>
      </w:r>
      <w:r w:rsidR="002F66F6">
        <w:t>[5]</w:t>
      </w:r>
      <w:r>
        <w:fldChar w:fldCharType="end"/>
      </w:r>
      <w:r>
        <w:t xml:space="preserve">. RAN1 has </w:t>
      </w:r>
      <w:r w:rsidR="00C230FB">
        <w:t xml:space="preserve">working assumption </w:t>
      </w:r>
      <w:r>
        <w:t>t</w:t>
      </w:r>
      <w:r w:rsidR="00405793">
        <w:t>o support</w:t>
      </w:r>
      <w:r>
        <w:t xml:space="preserve"> aperiodic CSI reporting</w:t>
      </w:r>
      <w:r w:rsidR="00405793">
        <w:t xml:space="preserve"> </w:t>
      </w:r>
      <w:r w:rsidR="00405793">
        <w:fldChar w:fldCharType="begin"/>
      </w:r>
      <w:r w:rsidR="00405793">
        <w:instrText xml:space="preserve"> REF _Ref20748050 \r \h </w:instrText>
      </w:r>
      <w:r w:rsidR="00405793">
        <w:fldChar w:fldCharType="separate"/>
      </w:r>
      <w:r w:rsidR="002F66F6">
        <w:t>[6]</w:t>
      </w:r>
      <w:r w:rsidR="00405793">
        <w:fldChar w:fldCharType="end"/>
      </w:r>
      <w:r w:rsidR="00405793">
        <w:t xml:space="preserve">. </w:t>
      </w:r>
    </w:p>
    <w:p w14:paraId="580515EA" w14:textId="5626973C" w:rsidR="00405793" w:rsidRDefault="00405793" w:rsidP="00BD5578">
      <w:pPr>
        <w:jc w:val="both"/>
      </w:pPr>
    </w:p>
    <w:p w14:paraId="73258A7E" w14:textId="77777777" w:rsidR="00CA581E" w:rsidRDefault="00405793" w:rsidP="00BD5578">
      <w:pPr>
        <w:jc w:val="both"/>
      </w:pPr>
      <w:r>
        <w:t xml:space="preserve">In NR Uu link, aperiodic CSI reporting is based on the measurement of periodic, semi-persistent or aperiodic CSI-RS resources. </w:t>
      </w:r>
    </w:p>
    <w:p w14:paraId="473A978C" w14:textId="77777777" w:rsidR="00CA581E" w:rsidRDefault="00CA581E" w:rsidP="00BD5578">
      <w:pPr>
        <w:jc w:val="both"/>
      </w:pPr>
    </w:p>
    <w:p w14:paraId="41096F73" w14:textId="023F08A0" w:rsidR="00F66589" w:rsidRDefault="00405793" w:rsidP="00BD5578">
      <w:pPr>
        <w:jc w:val="both"/>
      </w:pPr>
      <w:r>
        <w:t>Since release 16 does not support standalone</w:t>
      </w:r>
      <w:r w:rsidR="00F66589">
        <w:t xml:space="preserve"> </w:t>
      </w:r>
      <w:r>
        <w:t xml:space="preserve">RS transmission </w:t>
      </w:r>
      <w:r w:rsidR="00F66589">
        <w:t>dedicated to</w:t>
      </w:r>
      <w:r w:rsidR="00C230FB">
        <w:t xml:space="preserve"> sidelink</w:t>
      </w:r>
      <w:r w:rsidR="00F66589">
        <w:t xml:space="preserve"> CSI reporting </w:t>
      </w:r>
      <w:r w:rsidR="00F66589">
        <w:fldChar w:fldCharType="begin"/>
      </w:r>
      <w:r w:rsidR="00F66589">
        <w:instrText xml:space="preserve"> REF _Ref20748050 \r \h </w:instrText>
      </w:r>
      <w:r w:rsidR="00F66589">
        <w:fldChar w:fldCharType="separate"/>
      </w:r>
      <w:r w:rsidR="002F66F6">
        <w:t>[6]</w:t>
      </w:r>
      <w:r w:rsidR="00F66589">
        <w:fldChar w:fldCharType="end"/>
      </w:r>
      <w:r w:rsidR="00F66589">
        <w:t xml:space="preserve"> and sidelink CSI-RS is confined within the PSSCH transmission </w:t>
      </w:r>
      <w:r w:rsidR="00F66589">
        <w:fldChar w:fldCharType="begin"/>
      </w:r>
      <w:r w:rsidR="00F66589">
        <w:instrText xml:space="preserve"> REF _Ref20734350 \r \h </w:instrText>
      </w:r>
      <w:r w:rsidR="00F66589">
        <w:fldChar w:fldCharType="separate"/>
      </w:r>
      <w:r w:rsidR="002F66F6">
        <w:t>[7]</w:t>
      </w:r>
      <w:r w:rsidR="00F66589">
        <w:fldChar w:fldCharType="end"/>
      </w:r>
      <w:r>
        <w:t>, the transmission of periodic or semi-persistent CSI-RS is not guaranteed unless there is periodic sidelink data transmission.</w:t>
      </w:r>
    </w:p>
    <w:p w14:paraId="46CFECF2" w14:textId="77777777" w:rsidR="00F66589" w:rsidRDefault="00F66589" w:rsidP="00BD5578">
      <w:pPr>
        <w:jc w:val="both"/>
      </w:pPr>
    </w:p>
    <w:p w14:paraId="48F3AAB4" w14:textId="1422D3A9" w:rsidR="00945A1C" w:rsidRDefault="00F66589" w:rsidP="00945A1C">
      <w:pPr>
        <w:jc w:val="both"/>
      </w:pPr>
      <w:r>
        <w:t>The aperiodic CSI-RS transmission does not have to accompany with every sidelink unicast PSSCH transmission. Hence, it is necessary that</w:t>
      </w:r>
      <w:r w:rsidR="00945A1C">
        <w:t xml:space="preserve"> the presence of CSI-RS in PSSCH is indicated in the associated SCI. This indication of the presence of CSI-RS also serves as a trigger of CSI reporting </w:t>
      </w:r>
      <w:r w:rsidR="002D0997">
        <w:t>for</w:t>
      </w:r>
      <w:r w:rsidR="00945A1C">
        <w:t xml:space="preserve"> receiver UE. </w:t>
      </w:r>
    </w:p>
    <w:p w14:paraId="65135A32" w14:textId="77777777" w:rsidR="00945A1C" w:rsidRDefault="00945A1C" w:rsidP="00945A1C">
      <w:pPr>
        <w:jc w:val="both"/>
      </w:pPr>
    </w:p>
    <w:p w14:paraId="24623962" w14:textId="478AE78C" w:rsidR="00BD5578" w:rsidRDefault="00945A1C" w:rsidP="00945A1C">
      <w:pPr>
        <w:jc w:val="both"/>
      </w:pPr>
      <w:r>
        <w:t>In NR Uu link, the uplink grant DCI indicates one CSI reporting configuration which includes reporting type, reporting content</w:t>
      </w:r>
      <w:r w:rsidR="008349DB">
        <w:t>s, reporting resource</w:t>
      </w:r>
      <w:r w:rsidR="001F72B0">
        <w:t>s</w:t>
      </w:r>
      <w:r w:rsidR="008349DB">
        <w:t xml:space="preserve"> as well as CSI-RS resource</w:t>
      </w:r>
      <w:r w:rsidR="001F72B0">
        <w:t>s</w:t>
      </w:r>
      <w:r w:rsidR="008349DB">
        <w:t xml:space="preserve">. Most of these configuration fields are not needed for sidelink CSI reporting as they are </w:t>
      </w:r>
      <w:r w:rsidR="001F72B0">
        <w:t>either</w:t>
      </w:r>
      <w:r w:rsidR="008349DB">
        <w:t xml:space="preserve"> </w:t>
      </w:r>
      <w:r w:rsidR="001F72B0">
        <w:t>prede</w:t>
      </w:r>
      <w:r w:rsidR="008349DB">
        <w:t>fined or out of transmitter UE’s control.</w:t>
      </w:r>
      <w:r w:rsidR="001F72B0">
        <w:t xml:space="preserve"> One possible exception is CSI-RS resources, where multiple CSI-RS resources are configured. Transmitter UE selects one CSI-RS resource and indicates it to receiver UE. </w:t>
      </w:r>
    </w:p>
    <w:p w14:paraId="242463B2" w14:textId="77777777" w:rsidR="00BD5578" w:rsidRPr="00C10765" w:rsidRDefault="00BD5578" w:rsidP="00C10765"/>
    <w:p w14:paraId="007C1259" w14:textId="36676C90" w:rsidR="001F72B0" w:rsidRDefault="00663C77" w:rsidP="001F72B0">
      <w:pPr>
        <w:jc w:val="both"/>
        <w:rPr>
          <w:i/>
        </w:rPr>
      </w:pPr>
      <w:r w:rsidRPr="001C381A">
        <w:rPr>
          <w:b/>
          <w:i/>
          <w:u w:val="single"/>
        </w:rPr>
        <w:t xml:space="preserve">Proposal </w:t>
      </w:r>
      <w:r w:rsidR="002F66F6">
        <w:rPr>
          <w:b/>
          <w:i/>
          <w:u w:val="single"/>
        </w:rPr>
        <w:t>10</w:t>
      </w:r>
      <w:r w:rsidRPr="001C381A">
        <w:rPr>
          <w:b/>
          <w:i/>
          <w:u w:val="single"/>
        </w:rPr>
        <w:t>:</w:t>
      </w:r>
      <w:r w:rsidRPr="001C381A">
        <w:rPr>
          <w:i/>
        </w:rPr>
        <w:t xml:space="preserve"> </w:t>
      </w:r>
      <w:r w:rsidRPr="00663C77">
        <w:rPr>
          <w:i/>
        </w:rPr>
        <w:t xml:space="preserve">SCI indicates the presence of </w:t>
      </w:r>
      <w:r w:rsidR="00F66589">
        <w:rPr>
          <w:i/>
        </w:rPr>
        <w:t>CSI-</w:t>
      </w:r>
      <w:r w:rsidRPr="00663C77">
        <w:rPr>
          <w:i/>
        </w:rPr>
        <w:t>RS</w:t>
      </w:r>
      <w:r w:rsidR="00F66589">
        <w:rPr>
          <w:i/>
        </w:rPr>
        <w:t xml:space="preserve"> in the associated PSSCH</w:t>
      </w:r>
      <w:r w:rsidRPr="00663C77">
        <w:rPr>
          <w:i/>
        </w:rPr>
        <w:t xml:space="preserve"> for CSI measurement</w:t>
      </w:r>
      <w:r>
        <w:rPr>
          <w:i/>
        </w:rPr>
        <w:t>.</w:t>
      </w:r>
      <w:r w:rsidR="001F72B0">
        <w:rPr>
          <w:i/>
        </w:rPr>
        <w:t xml:space="preserve"> FFS whether sidelink CSI-RS resource is indicated in SCI.</w:t>
      </w:r>
    </w:p>
    <w:p w14:paraId="20E99A0E" w14:textId="77777777" w:rsidR="001F72B0" w:rsidRDefault="001F72B0" w:rsidP="001F72B0">
      <w:pPr>
        <w:jc w:val="both"/>
        <w:rPr>
          <w:i/>
        </w:rPr>
      </w:pPr>
    </w:p>
    <w:p w14:paraId="4688F1F6" w14:textId="75C825F6" w:rsidR="001F72B0" w:rsidRDefault="001F72B0" w:rsidP="001F72B0">
      <w:pPr>
        <w:jc w:val="both"/>
        <w:rPr>
          <w:iCs/>
        </w:rPr>
      </w:pPr>
      <w:r>
        <w:rPr>
          <w:iCs/>
        </w:rPr>
        <w:t>After receiving SCI indicating the presence of CSI-RS</w:t>
      </w:r>
      <w:r w:rsidR="00BE5C7A">
        <w:rPr>
          <w:iCs/>
        </w:rPr>
        <w:t xml:space="preserve">, a receiver UE performs the sidelink CSI measurement. It was agreed </w:t>
      </w:r>
      <w:r w:rsidR="00BE5C7A">
        <w:rPr>
          <w:iCs/>
        </w:rPr>
        <w:fldChar w:fldCharType="begin"/>
      </w:r>
      <w:r w:rsidR="00BE5C7A">
        <w:rPr>
          <w:iCs/>
        </w:rPr>
        <w:instrText xml:space="preserve"> REF _Ref20899868 \r \h </w:instrText>
      </w:r>
      <w:r w:rsidR="00BE5C7A">
        <w:rPr>
          <w:iCs/>
        </w:rPr>
      </w:r>
      <w:r w:rsidR="00BE5C7A">
        <w:rPr>
          <w:iCs/>
        </w:rPr>
        <w:fldChar w:fldCharType="separate"/>
      </w:r>
      <w:r w:rsidR="002F66F6">
        <w:rPr>
          <w:iCs/>
        </w:rPr>
        <w:t>[5]</w:t>
      </w:r>
      <w:r w:rsidR="00BE5C7A">
        <w:rPr>
          <w:iCs/>
        </w:rPr>
        <w:fldChar w:fldCharType="end"/>
      </w:r>
      <w:r w:rsidR="00BE5C7A">
        <w:rPr>
          <w:iCs/>
        </w:rPr>
        <w:t xml:space="preserve"> that the CSI reporting is carried in PSSCH, where the regular resource allocation procedure is applied </w:t>
      </w:r>
      <w:r w:rsidR="002D0997">
        <w:rPr>
          <w:iCs/>
        </w:rPr>
        <w:t>for</w:t>
      </w:r>
      <w:r w:rsidR="00BE5C7A">
        <w:rPr>
          <w:iCs/>
        </w:rPr>
        <w:t xml:space="preserve"> this PSSCH transmission. It is clear not every PSSCH transmission </w:t>
      </w:r>
      <w:r w:rsidR="00BE5C7A">
        <w:rPr>
          <w:iCs/>
        </w:rPr>
        <w:lastRenderedPageBreak/>
        <w:t xml:space="preserve">contains CSI reporting. To avoid ambiguity, the SCI associated with CSI reporting should indicate the </w:t>
      </w:r>
      <w:r w:rsidR="002D0997">
        <w:rPr>
          <w:iCs/>
        </w:rPr>
        <w:t>presence</w:t>
      </w:r>
      <w:r w:rsidR="00BE5C7A">
        <w:rPr>
          <w:iCs/>
        </w:rPr>
        <w:t xml:space="preserve"> of CSI reporting.</w:t>
      </w:r>
    </w:p>
    <w:p w14:paraId="552F564E" w14:textId="77777777" w:rsidR="001F72B0" w:rsidRPr="001F72B0" w:rsidRDefault="001F72B0" w:rsidP="001F72B0">
      <w:pPr>
        <w:jc w:val="both"/>
        <w:rPr>
          <w:iCs/>
        </w:rPr>
      </w:pPr>
    </w:p>
    <w:p w14:paraId="0394D4B0" w14:textId="44085C39" w:rsidR="00F0142B" w:rsidRDefault="00F0142B" w:rsidP="003953DD">
      <w:pPr>
        <w:rPr>
          <w:i/>
        </w:rPr>
      </w:pPr>
      <w:r w:rsidRPr="001C381A">
        <w:rPr>
          <w:b/>
          <w:i/>
          <w:u w:val="single"/>
        </w:rPr>
        <w:t xml:space="preserve">Proposal </w:t>
      </w:r>
      <w:r>
        <w:rPr>
          <w:b/>
          <w:i/>
          <w:u w:val="single"/>
        </w:rPr>
        <w:t>1</w:t>
      </w:r>
      <w:r w:rsidR="002F66F6">
        <w:rPr>
          <w:b/>
          <w:i/>
          <w:u w:val="single"/>
        </w:rPr>
        <w:t>1</w:t>
      </w:r>
      <w:r w:rsidRPr="001C381A">
        <w:rPr>
          <w:b/>
          <w:i/>
          <w:u w:val="single"/>
        </w:rPr>
        <w:t>:</w:t>
      </w:r>
      <w:r w:rsidRPr="001C381A">
        <w:rPr>
          <w:i/>
        </w:rPr>
        <w:t xml:space="preserve"> </w:t>
      </w:r>
      <w:r w:rsidRPr="00F0142B">
        <w:rPr>
          <w:i/>
        </w:rPr>
        <w:t>SCI indicates the presence of CSI reporting in the PSSCH resources</w:t>
      </w:r>
      <w:r>
        <w:rPr>
          <w:i/>
        </w:rPr>
        <w:t>.</w:t>
      </w:r>
    </w:p>
    <w:p w14:paraId="20D296F1" w14:textId="77777777" w:rsidR="00F0142B" w:rsidRPr="00BE5C7A" w:rsidRDefault="00F0142B" w:rsidP="003953DD">
      <w:pPr>
        <w:rPr>
          <w:iCs/>
        </w:rPr>
      </w:pPr>
    </w:p>
    <w:p w14:paraId="08FF4E1A" w14:textId="4B5D80F9" w:rsidR="002021C7" w:rsidRDefault="00917FDA" w:rsidP="002021C7">
      <w:pPr>
        <w:pStyle w:val="Heading2"/>
        <w:ind w:left="720" w:hanging="720"/>
        <w:rPr>
          <w:sz w:val="28"/>
        </w:rPr>
      </w:pPr>
      <w:r>
        <w:rPr>
          <w:sz w:val="28"/>
        </w:rPr>
        <w:t xml:space="preserve">Sidelink </w:t>
      </w:r>
      <w:r w:rsidR="00663C77">
        <w:rPr>
          <w:sz w:val="28"/>
        </w:rPr>
        <w:t>TBS determination</w:t>
      </w:r>
    </w:p>
    <w:p w14:paraId="089AF823" w14:textId="77777777" w:rsidR="00801B5F" w:rsidRDefault="008C55A7" w:rsidP="008C55A7">
      <w:pPr>
        <w:jc w:val="both"/>
      </w:pPr>
      <w:r>
        <w:t xml:space="preserve">In NR Uu link, the transport block size (TBS) </w:t>
      </w:r>
      <w:r w:rsidR="00801B5F">
        <w:t xml:space="preserve">is determined by a formula or a look-up table. The selection between the formula or the look-up table is based on intermediate number of information bits. Specifically, if the intermediate number is larger than 3824, then TBS is calculated by the formula, otherwise, TBS is obtained from the look-up table. </w:t>
      </w:r>
    </w:p>
    <w:p w14:paraId="0DD3D898" w14:textId="77777777" w:rsidR="00A17570" w:rsidRDefault="00A17570" w:rsidP="008C55A7">
      <w:pPr>
        <w:jc w:val="both"/>
      </w:pPr>
    </w:p>
    <w:p w14:paraId="62911B8E" w14:textId="367DD9D8" w:rsidR="00A17570" w:rsidRDefault="00801B5F" w:rsidP="008C55A7">
      <w:pPr>
        <w:jc w:val="both"/>
      </w:pPr>
      <w:r>
        <w:t xml:space="preserve">The intermediate number of information bits is equal to the multiplication of code rate, modulation order, number of layers and the </w:t>
      </w:r>
      <w:r w:rsidR="00A17570">
        <w:t xml:space="preserve">total </w:t>
      </w:r>
      <w:r>
        <w:t xml:space="preserve">number of resource elements (RE) for data transmission. </w:t>
      </w:r>
      <w:r w:rsidR="00A17570">
        <w:t>Under the assumption that the number of REs for data transmission in each allocated data channel resource blocks (RB) is identical, the total number of REs for data transmission is based on the calculation of the number of REs for data transmission</w:t>
      </w:r>
      <w:r w:rsidR="00946A96">
        <w:t xml:space="preserve"> per RB</w:t>
      </w:r>
      <w:r w:rsidR="00A17570">
        <w:t xml:space="preserve">. Here, the overheads from DMRS, CSI-RS and CORESET are reduced in the calculation. </w:t>
      </w:r>
    </w:p>
    <w:p w14:paraId="31D05110" w14:textId="77777777" w:rsidR="00A17570" w:rsidRDefault="00A17570" w:rsidP="008C55A7">
      <w:pPr>
        <w:jc w:val="both"/>
      </w:pPr>
    </w:p>
    <w:p w14:paraId="6140E391" w14:textId="77777777" w:rsidR="00946A96" w:rsidRDefault="00A17570" w:rsidP="008C55A7">
      <w:pPr>
        <w:jc w:val="both"/>
      </w:pPr>
      <w:r>
        <w:t xml:space="preserve">Overall, the </w:t>
      </w:r>
      <w:r w:rsidR="00E54E24">
        <w:t xml:space="preserve">TBS determination procedure in NR Uu link can be reused for NR V2X sidelink. Considering the PSCCH and PSSCH multiplexing Option 3, the assumption </w:t>
      </w:r>
      <w:r w:rsidR="002D0997">
        <w:t xml:space="preserve">of identical </w:t>
      </w:r>
      <w:r w:rsidR="00E54E24">
        <w:t xml:space="preserve">number of REs for data transmissions in each PSSCH RB </w:t>
      </w:r>
      <w:r w:rsidR="002D0997">
        <w:t>does not hold</w:t>
      </w:r>
      <w:r w:rsidR="00E54E24">
        <w:t>. Hence, the total number of REs for data transmission should not be calculated based on the number of REs for data transmission</w:t>
      </w:r>
      <w:r w:rsidR="00946A96">
        <w:t xml:space="preserve"> per RB</w:t>
      </w:r>
      <w:r w:rsidR="00E54E24">
        <w:t>. Furthermore, some additional overheads be</w:t>
      </w:r>
      <w:r w:rsidR="00490ECA">
        <w:t>sides</w:t>
      </w:r>
      <w:r w:rsidR="00E54E24">
        <w:t xml:space="preserve"> DMRS, CSI-RS and PSCCH should be considered</w:t>
      </w:r>
      <w:r w:rsidR="00C230FB">
        <w:t>:</w:t>
      </w:r>
    </w:p>
    <w:p w14:paraId="4C4FD35F" w14:textId="5638EF4B" w:rsidR="00E54E24" w:rsidRPr="00C230FB" w:rsidRDefault="00E54E24" w:rsidP="008C55A7">
      <w:pPr>
        <w:jc w:val="both"/>
      </w:pPr>
      <w:r>
        <w:t xml:space="preserve"> </w:t>
      </w:r>
    </w:p>
    <w:p w14:paraId="3EDF7B93" w14:textId="2EE3CB91" w:rsidR="00E54E24" w:rsidRDefault="00490ECA" w:rsidP="00E54E24">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GAP symbol: </w:t>
      </w:r>
      <w:r w:rsidR="00E54E24">
        <w:rPr>
          <w:rFonts w:ascii="Times New Roman" w:hAnsi="Times New Roman"/>
          <w:sz w:val="24"/>
          <w:szCs w:val="24"/>
        </w:rPr>
        <w:t>The GAP symbol in sidelink is not used for data transmission</w:t>
      </w:r>
      <w:r>
        <w:rPr>
          <w:rFonts w:ascii="Times New Roman" w:hAnsi="Times New Roman"/>
          <w:sz w:val="24"/>
          <w:szCs w:val="24"/>
        </w:rPr>
        <w:t>.</w:t>
      </w:r>
    </w:p>
    <w:p w14:paraId="5B4D4535" w14:textId="4C85BC64" w:rsidR="00E54E24" w:rsidRDefault="00490ECA" w:rsidP="00E54E24">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AGC symbol: </w:t>
      </w:r>
      <w:r w:rsidR="00E54E24">
        <w:rPr>
          <w:rFonts w:ascii="Times New Roman" w:hAnsi="Times New Roman"/>
          <w:sz w:val="24"/>
          <w:szCs w:val="24"/>
        </w:rPr>
        <w:t>Some REs in AGC symbol are used for</w:t>
      </w:r>
      <w:r>
        <w:rPr>
          <w:rFonts w:ascii="Times New Roman" w:hAnsi="Times New Roman"/>
          <w:sz w:val="24"/>
          <w:szCs w:val="24"/>
        </w:rPr>
        <w:t xml:space="preserve"> AGC </w:t>
      </w:r>
      <w:r w:rsidR="002D0997">
        <w:rPr>
          <w:rFonts w:ascii="Times New Roman" w:hAnsi="Times New Roman"/>
          <w:sz w:val="24"/>
          <w:szCs w:val="24"/>
        </w:rPr>
        <w:t>training</w:t>
      </w:r>
      <w:r>
        <w:rPr>
          <w:rFonts w:ascii="Times New Roman" w:hAnsi="Times New Roman"/>
          <w:sz w:val="24"/>
          <w:szCs w:val="24"/>
        </w:rPr>
        <w:t xml:space="preserve"> and </w:t>
      </w:r>
      <w:r w:rsidR="002D0997">
        <w:rPr>
          <w:rFonts w:ascii="Times New Roman" w:hAnsi="Times New Roman"/>
          <w:sz w:val="24"/>
          <w:szCs w:val="24"/>
        </w:rPr>
        <w:t xml:space="preserve">are </w:t>
      </w:r>
      <w:r>
        <w:rPr>
          <w:rFonts w:ascii="Times New Roman" w:hAnsi="Times New Roman"/>
          <w:sz w:val="24"/>
          <w:szCs w:val="24"/>
        </w:rPr>
        <w:t>not suitable for data transmission.</w:t>
      </w:r>
    </w:p>
    <w:p w14:paraId="4199138E" w14:textId="772F5382" w:rsidR="00946A96" w:rsidRPr="00946A96" w:rsidRDefault="00946A96" w:rsidP="00946A96">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SCI stage 2: </w:t>
      </w:r>
      <w:r w:rsidRPr="00E54E24">
        <w:rPr>
          <w:rFonts w:ascii="Times New Roman" w:hAnsi="Times New Roman"/>
          <w:sz w:val="24"/>
          <w:szCs w:val="24"/>
        </w:rPr>
        <w:t>The 2-stage SCI is supported for NR V2X, where SCI stage 1 is carried in PSCCH. It is possible that SCI stage 2 is carried in PSSCH</w:t>
      </w:r>
      <w:r>
        <w:rPr>
          <w:rFonts w:ascii="Times New Roman" w:hAnsi="Times New Roman"/>
          <w:sz w:val="24"/>
          <w:szCs w:val="24"/>
        </w:rPr>
        <w:t xml:space="preserve"> (cf. </w:t>
      </w:r>
      <w:r>
        <w:rPr>
          <w:rFonts w:ascii="Times New Roman" w:hAnsi="Times New Roman"/>
          <w:sz w:val="24"/>
          <w:szCs w:val="24"/>
        </w:rPr>
        <w:fldChar w:fldCharType="begin"/>
      </w:r>
      <w:r>
        <w:rPr>
          <w:rFonts w:ascii="Times New Roman" w:hAnsi="Times New Roman"/>
          <w:sz w:val="24"/>
          <w:szCs w:val="24"/>
        </w:rPr>
        <w:instrText xml:space="preserve"> REF _Ref20932605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w:t>
      </w:r>
      <w:r w:rsidRPr="00E54E24">
        <w:rPr>
          <w:rFonts w:ascii="Times New Roman" w:hAnsi="Times New Roman"/>
          <w:sz w:val="24"/>
          <w:szCs w:val="24"/>
        </w:rPr>
        <w:t xml:space="preserve">. </w:t>
      </w:r>
    </w:p>
    <w:p w14:paraId="55B31881" w14:textId="6F6F25CC" w:rsidR="00490ECA" w:rsidRPr="00E54E24" w:rsidRDefault="00490ECA" w:rsidP="00E54E24">
      <w:pPr>
        <w:pStyle w:val="ListParagraph"/>
        <w:numPr>
          <w:ilvl w:val="0"/>
          <w:numId w:val="28"/>
        </w:numPr>
        <w:jc w:val="both"/>
        <w:rPr>
          <w:rFonts w:ascii="Times New Roman" w:hAnsi="Times New Roman"/>
          <w:sz w:val="24"/>
          <w:szCs w:val="24"/>
        </w:rPr>
      </w:pPr>
      <w:r>
        <w:rPr>
          <w:rFonts w:ascii="Times New Roman" w:hAnsi="Times New Roman"/>
          <w:sz w:val="24"/>
          <w:szCs w:val="24"/>
        </w:rPr>
        <w:t xml:space="preserve">PSFCH: It is supported that PSFCH is TDM with PSCCH/PSSCH and PSFCH uses the last symbol(s) available for sidelink in a slot. </w:t>
      </w:r>
    </w:p>
    <w:p w14:paraId="5117F7B8" w14:textId="77777777" w:rsidR="00E54E24" w:rsidRDefault="00E54E24" w:rsidP="008C55A7">
      <w:pPr>
        <w:jc w:val="both"/>
      </w:pPr>
    </w:p>
    <w:p w14:paraId="60A68C67" w14:textId="4B0003EC" w:rsidR="000C19DB" w:rsidRDefault="00F0142B" w:rsidP="000C19DB">
      <w:pPr>
        <w:jc w:val="both"/>
        <w:rPr>
          <w:i/>
        </w:rPr>
      </w:pPr>
      <w:r w:rsidRPr="001C381A">
        <w:rPr>
          <w:b/>
          <w:i/>
          <w:u w:val="single"/>
        </w:rPr>
        <w:t xml:space="preserve">Proposal </w:t>
      </w:r>
      <w:r>
        <w:rPr>
          <w:b/>
          <w:i/>
          <w:u w:val="single"/>
        </w:rPr>
        <w:t>1</w:t>
      </w:r>
      <w:r w:rsidR="002F66F6">
        <w:rPr>
          <w:b/>
          <w:i/>
          <w:u w:val="single"/>
        </w:rPr>
        <w:t>2</w:t>
      </w:r>
      <w:r w:rsidRPr="001C381A">
        <w:rPr>
          <w:b/>
          <w:i/>
          <w:u w:val="single"/>
        </w:rPr>
        <w:t>:</w:t>
      </w:r>
      <w:r w:rsidRPr="001C381A">
        <w:rPr>
          <w:i/>
        </w:rPr>
        <w:t xml:space="preserve"> </w:t>
      </w:r>
      <w:r w:rsidR="00490ECA">
        <w:rPr>
          <w:i/>
        </w:rPr>
        <w:t xml:space="preserve">Sidelink </w:t>
      </w:r>
      <w:r w:rsidRPr="00F0142B">
        <w:rPr>
          <w:i/>
        </w:rPr>
        <w:t>TBS determination should consider PSCCH/PSSCH multiplexing and</w:t>
      </w:r>
      <w:r w:rsidR="00490ECA">
        <w:rPr>
          <w:i/>
        </w:rPr>
        <w:t xml:space="preserve"> the overheads from GAP symbol, AGC symbol</w:t>
      </w:r>
      <w:r w:rsidR="00946A96">
        <w:rPr>
          <w:i/>
        </w:rPr>
        <w:t>, SCI stage 2</w:t>
      </w:r>
      <w:r w:rsidR="00490ECA">
        <w:rPr>
          <w:i/>
        </w:rPr>
        <w:t xml:space="preserve"> and </w:t>
      </w:r>
      <w:r w:rsidRPr="00F0142B">
        <w:rPr>
          <w:i/>
        </w:rPr>
        <w:t>PSFCH</w:t>
      </w:r>
      <w:r w:rsidR="00A260A4">
        <w:rPr>
          <w:i/>
        </w:rPr>
        <w:t>.</w:t>
      </w:r>
    </w:p>
    <w:p w14:paraId="319D1044" w14:textId="7185C99B" w:rsidR="00490ECA" w:rsidRDefault="00490ECA" w:rsidP="000C19DB">
      <w:pPr>
        <w:jc w:val="both"/>
      </w:pPr>
    </w:p>
    <w:p w14:paraId="25F25AEA" w14:textId="79CEC735" w:rsidR="007E08BD" w:rsidRDefault="00490ECA" w:rsidP="000C19DB">
      <w:pPr>
        <w:jc w:val="both"/>
      </w:pPr>
      <w:r>
        <w:t>NR V2X supports blind retransmission</w:t>
      </w:r>
      <w:r w:rsidR="007E08BD">
        <w:t>(s)</w:t>
      </w:r>
      <w:r>
        <w:t xml:space="preserve"> of a TB</w:t>
      </w:r>
      <w:r w:rsidR="007E08BD">
        <w:t>.</w:t>
      </w:r>
      <w:r>
        <w:t xml:space="preserve"> It is possible </w:t>
      </w:r>
      <w:r w:rsidR="007E08BD">
        <w:t xml:space="preserve">that the TBS calculated in initial transmission is different from the TBS calculated in blind retransmission(s), due to </w:t>
      </w:r>
      <w:r w:rsidR="00946A96">
        <w:t xml:space="preserve">different </w:t>
      </w:r>
      <w:r w:rsidR="007E08BD">
        <w:t>PSFCH overhead. It is supported that PSFCH periodicity can be 1, 2 or 4 slots. For the case where PSFCH periodicity is larger than 1 slot, PSFCH may occur in the slot for initial transmission, but not in the slot for blind retransmission</w:t>
      </w:r>
      <w:r w:rsidR="002D0997">
        <w:t>(s)</w:t>
      </w:r>
      <w:r w:rsidR="007E08BD">
        <w:t xml:space="preserve">, or vice versa. </w:t>
      </w:r>
    </w:p>
    <w:p w14:paraId="7545AB6D" w14:textId="5E85E207" w:rsidR="007E08BD" w:rsidRDefault="007E08BD" w:rsidP="000C19DB">
      <w:pPr>
        <w:jc w:val="both"/>
      </w:pPr>
    </w:p>
    <w:p w14:paraId="2CD71AAE" w14:textId="6C8498E4" w:rsidR="007E08BD" w:rsidRDefault="007E08BD" w:rsidP="007E08BD">
      <w:pPr>
        <w:jc w:val="both"/>
      </w:pPr>
      <w:r>
        <w:t xml:space="preserve">It was agreed </w:t>
      </w:r>
      <w:r>
        <w:fldChar w:fldCharType="begin"/>
      </w:r>
      <w:r>
        <w:instrText xml:space="preserve"> REF _Ref20734350 \r \h </w:instrText>
      </w:r>
      <w:r>
        <w:fldChar w:fldCharType="separate"/>
      </w:r>
      <w:r w:rsidR="002F66F6">
        <w:t>[7]</w:t>
      </w:r>
      <w:r>
        <w:fldChar w:fldCharType="end"/>
      </w:r>
      <w:r>
        <w:t xml:space="preserve"> that LDPC codes used for release 15 NR PDSCH is applied to PSSCH. In NR PDSCH, two LDPC base graphs are designed, and the selection between these two LDPC base graphs depends on code rate and transport block size. The TBS mismatch between initial transmission and blind retransmission(s) could result in selecting different LDPC base graphs. The </w:t>
      </w:r>
      <w:r w:rsidR="00CC21EC">
        <w:t>incorrect</w:t>
      </w:r>
      <w:r>
        <w:t xml:space="preserve"> LDPC base graph selection will definitely cause PSSCH decoding error. One way to </w:t>
      </w:r>
      <w:r w:rsidR="00FC6D72">
        <w:t xml:space="preserve">address this issue is to include a bit in SCI to indicate which LDPC base graph is used. However, this approach increases signaling overhead and </w:t>
      </w:r>
      <w:r w:rsidR="00CC21EC">
        <w:t>wa</w:t>
      </w:r>
      <w:r w:rsidR="00FC6D72">
        <w:t xml:space="preserve">s </w:t>
      </w:r>
      <w:r w:rsidR="00CC21EC">
        <w:t xml:space="preserve">also </w:t>
      </w:r>
      <w:r w:rsidR="00FC6D72">
        <w:t xml:space="preserve">not adopted in NR Uu link. Another way is to align the TBS calculation between initial transmission and blind retransmission(s) </w:t>
      </w:r>
      <w:r w:rsidR="00CC21EC">
        <w:t>by</w:t>
      </w:r>
      <w:r w:rsidR="00FC6D72">
        <w:t xml:space="preserve"> introduc</w:t>
      </w:r>
      <w:r w:rsidR="00CC21EC">
        <w:t>ing</w:t>
      </w:r>
      <w:r w:rsidR="00FC6D72">
        <w:t xml:space="preserve"> a common virtual (or model) TBS which is used for LDPC base graph selection. The PSFCH overhead is always </w:t>
      </w:r>
      <w:r w:rsidR="00FC6D72">
        <w:lastRenderedPageBreak/>
        <w:t xml:space="preserve">counted (or </w:t>
      </w:r>
      <w:r w:rsidR="00946A96">
        <w:t xml:space="preserve">alternatively, </w:t>
      </w:r>
      <w:r w:rsidR="00FC6D72">
        <w:t>not counted) in the calculation of the virtual TBS. This closes the potential gap between initial transmission and blind retransmission(s) s</w:t>
      </w:r>
      <w:r w:rsidR="00CC21EC">
        <w:t>uch</w:t>
      </w:r>
      <w:r w:rsidR="00FC6D72">
        <w:t xml:space="preserve"> that a UE receiving either initial transmission or blind retransmission(s) concludes on </w:t>
      </w:r>
      <w:r w:rsidR="00946A96">
        <w:t>the same</w:t>
      </w:r>
      <w:r w:rsidR="00FC6D72">
        <w:t xml:space="preserve"> LDPC base graph. </w:t>
      </w:r>
    </w:p>
    <w:p w14:paraId="513D0434" w14:textId="080C12FA" w:rsidR="007E08BD" w:rsidRDefault="007E08BD" w:rsidP="000C19DB">
      <w:pPr>
        <w:jc w:val="both"/>
      </w:pPr>
    </w:p>
    <w:p w14:paraId="5240B6B1" w14:textId="29283332" w:rsidR="00FC24DA" w:rsidRDefault="00FC24DA" w:rsidP="000C19DB">
      <w:pPr>
        <w:jc w:val="both"/>
      </w:pPr>
      <w:r>
        <w:t xml:space="preserve">The same TBS mismatch occurs between initial transmission and feedback-based retransmission(s). However, for feedback-based retransmission(s), the same LDPC base graph used in initial transmission can be </w:t>
      </w:r>
      <w:r w:rsidR="00CC21EC">
        <w:t>assumed</w:t>
      </w:r>
      <w:r>
        <w:t xml:space="preserve"> for retransmission(s).</w:t>
      </w:r>
    </w:p>
    <w:p w14:paraId="793F750B" w14:textId="77777777" w:rsidR="00FC24DA" w:rsidRDefault="00FC24DA" w:rsidP="000C19DB">
      <w:pPr>
        <w:jc w:val="both"/>
      </w:pPr>
    </w:p>
    <w:p w14:paraId="79CF1128" w14:textId="2614F639" w:rsidR="00F0142B" w:rsidRPr="00FC24DA" w:rsidRDefault="00F0142B" w:rsidP="000C19DB">
      <w:pPr>
        <w:jc w:val="both"/>
        <w:rPr>
          <w:i/>
        </w:rPr>
      </w:pPr>
      <w:r w:rsidRPr="001C381A">
        <w:rPr>
          <w:b/>
          <w:i/>
          <w:u w:val="single"/>
        </w:rPr>
        <w:t xml:space="preserve">Proposal </w:t>
      </w:r>
      <w:r>
        <w:rPr>
          <w:b/>
          <w:i/>
          <w:u w:val="single"/>
        </w:rPr>
        <w:t>1</w:t>
      </w:r>
      <w:r w:rsidR="002F66F6">
        <w:rPr>
          <w:b/>
          <w:i/>
          <w:u w:val="single"/>
        </w:rPr>
        <w:t>3</w:t>
      </w:r>
      <w:r w:rsidRPr="001C381A">
        <w:rPr>
          <w:b/>
          <w:i/>
          <w:u w:val="single"/>
        </w:rPr>
        <w:t>:</w:t>
      </w:r>
      <w:r w:rsidRPr="001C381A">
        <w:rPr>
          <w:i/>
        </w:rPr>
        <w:t xml:space="preserve"> </w:t>
      </w:r>
      <w:r w:rsidR="00FC24DA">
        <w:rPr>
          <w:i/>
        </w:rPr>
        <w:t>T</w:t>
      </w:r>
      <w:r w:rsidRPr="00F0142B">
        <w:rPr>
          <w:i/>
        </w:rPr>
        <w:t>he TBS mismatch from initial transmission and blind retransmission</w:t>
      </w:r>
      <w:r w:rsidR="00FC24DA">
        <w:rPr>
          <w:i/>
        </w:rPr>
        <w:t>(s)</w:t>
      </w:r>
      <w:r w:rsidRPr="00F0142B">
        <w:rPr>
          <w:i/>
        </w:rPr>
        <w:t xml:space="preserve"> should be addressed</w:t>
      </w:r>
      <w:r w:rsidR="00FC24DA">
        <w:rPr>
          <w:i/>
        </w:rPr>
        <w:t xml:space="preserve"> when</w:t>
      </w:r>
      <w:r w:rsidR="00FC24DA" w:rsidRPr="00F0142B">
        <w:rPr>
          <w:i/>
        </w:rPr>
        <w:t xml:space="preserve"> determining LDPC base graph for PSSCH</w:t>
      </w:r>
      <w:r w:rsidRPr="00F0142B">
        <w:rPr>
          <w:i/>
        </w:rPr>
        <w:t>.</w:t>
      </w:r>
      <w:r w:rsidR="00FC6D72">
        <w:rPr>
          <w:i/>
        </w:rPr>
        <w:t xml:space="preserve"> Consider </w:t>
      </w:r>
      <w:r w:rsidR="00FC24DA">
        <w:rPr>
          <w:i/>
        </w:rPr>
        <w:t>introducing</w:t>
      </w:r>
      <w:r w:rsidR="00FC6D72">
        <w:rPr>
          <w:i/>
        </w:rPr>
        <w:t xml:space="preserve"> a virtual TBS </w:t>
      </w:r>
      <w:r w:rsidR="00FC24DA">
        <w:rPr>
          <w:i/>
        </w:rPr>
        <w:t>in</w:t>
      </w:r>
      <w:r w:rsidR="00FC6D72">
        <w:rPr>
          <w:i/>
        </w:rPr>
        <w:t xml:space="preserve"> </w:t>
      </w:r>
      <w:r w:rsidR="00FC24DA">
        <w:rPr>
          <w:i/>
        </w:rPr>
        <w:t>select</w:t>
      </w:r>
      <w:r w:rsidR="00FC6D72">
        <w:rPr>
          <w:i/>
        </w:rPr>
        <w:t xml:space="preserve">ing LDPC base graph for PSSCH. </w:t>
      </w:r>
    </w:p>
    <w:p w14:paraId="2896E657" w14:textId="2DF29AD0" w:rsidR="00854A60" w:rsidRPr="00A6576F" w:rsidRDefault="009C5A97" w:rsidP="00FB330B">
      <w:pPr>
        <w:pStyle w:val="Heading1"/>
      </w:pPr>
      <w:r w:rsidRPr="00A6576F">
        <w:t>Conclusion</w:t>
      </w:r>
    </w:p>
    <w:p w14:paraId="56311B75" w14:textId="37AD9E87"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Pr="00D8146E">
        <w:rPr>
          <w:rFonts w:eastAsia="MS Mincho"/>
          <w:lang w:eastAsia="ja-JP"/>
        </w:rPr>
        <w:t xml:space="preserve">provided our view on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56D015E5" w:rsidR="008A456C" w:rsidRDefault="008A456C" w:rsidP="000A1967">
      <w:pPr>
        <w:rPr>
          <w:rFonts w:eastAsia="MS Mincho"/>
          <w:sz w:val="22"/>
          <w:szCs w:val="22"/>
          <w:lang w:eastAsia="ja-JP"/>
        </w:rPr>
      </w:pPr>
    </w:p>
    <w:p w14:paraId="1B04C56F" w14:textId="77777777" w:rsidR="002F66F6" w:rsidRDefault="002F66F6" w:rsidP="002F66F6">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Power boosting on PSCCH is not supported.</w:t>
      </w:r>
    </w:p>
    <w:p w14:paraId="06F19487" w14:textId="77777777" w:rsidR="002F66F6" w:rsidRDefault="002F66F6" w:rsidP="002F66F6">
      <w:pPr>
        <w:spacing w:after="120"/>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Sidelink pathloss based open-loop power control is supported for groupcast.</w:t>
      </w:r>
    </w:p>
    <w:p w14:paraId="6CC37262" w14:textId="77777777" w:rsidR="003D40DD" w:rsidRDefault="003D40DD" w:rsidP="003D40DD">
      <w:pPr>
        <w:spacing w:after="120"/>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663C77">
        <w:rPr>
          <w:i/>
        </w:rPr>
        <w:t>The Tx-Rx distance-based HARQ feedback is not supported for groupcast</w:t>
      </w:r>
      <w:r>
        <w:rPr>
          <w:i/>
        </w:rPr>
        <w:t xml:space="preserve"> HARQ feedback</w:t>
      </w:r>
      <w:r w:rsidRPr="00663C77">
        <w:rPr>
          <w:i/>
        </w:rPr>
        <w:t xml:space="preserve"> Option 2</w:t>
      </w:r>
      <w:r>
        <w:rPr>
          <w:i/>
        </w:rPr>
        <w:t>.</w:t>
      </w:r>
    </w:p>
    <w:p w14:paraId="6E99361B" w14:textId="24AE8706" w:rsidR="00CA581E" w:rsidRDefault="00CA581E" w:rsidP="00CA581E">
      <w:pPr>
        <w:spacing w:after="120"/>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For sidelink groupcast HARQ feedback Option </w:t>
      </w:r>
      <w:r w:rsidR="00EB02E8">
        <w:rPr>
          <w:i/>
        </w:rPr>
        <w:t>1</w:t>
      </w:r>
      <w:r>
        <w:rPr>
          <w:i/>
        </w:rPr>
        <w:t>, SCI includes the g</w:t>
      </w:r>
      <w:r w:rsidRPr="00663C77">
        <w:rPr>
          <w:i/>
        </w:rPr>
        <w:t>eographical coordinat</w:t>
      </w:r>
      <w:r>
        <w:rPr>
          <w:i/>
        </w:rPr>
        <w:t>e</w:t>
      </w:r>
      <w:r w:rsidRPr="00663C77">
        <w:rPr>
          <w:i/>
        </w:rPr>
        <w:t xml:space="preserve"> of </w:t>
      </w:r>
      <w:r>
        <w:rPr>
          <w:i/>
        </w:rPr>
        <w:t>transmitter</w:t>
      </w:r>
      <w:r w:rsidRPr="00663C77">
        <w:rPr>
          <w:i/>
        </w:rPr>
        <w:t xml:space="preserve"> UE</w:t>
      </w:r>
      <w:r>
        <w:rPr>
          <w:i/>
        </w:rPr>
        <w:t>.</w:t>
      </w:r>
    </w:p>
    <w:p w14:paraId="1C258267" w14:textId="77777777" w:rsidR="002F66F6" w:rsidRPr="0081405C" w:rsidRDefault="002F66F6" w:rsidP="00CA581E">
      <w:pPr>
        <w:spacing w:after="120"/>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For a PSFCH format, in the symbols that can be used for PSFCH transmissions in a resource pool, all the frequency resources should be usable for PSFCH transmissions.</w:t>
      </w:r>
    </w:p>
    <w:p w14:paraId="6D22295B" w14:textId="77777777" w:rsidR="002F66F6" w:rsidRDefault="002F66F6" w:rsidP="002F66F6">
      <w:pPr>
        <w:spacing w:after="120"/>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Only a single K value is used for all UEs in a RX resource pool.</w:t>
      </w:r>
    </w:p>
    <w:p w14:paraId="1DE5279B" w14:textId="7B5B02FE" w:rsidR="002F66F6" w:rsidRDefault="002F66F6" w:rsidP="002F66F6">
      <w:pPr>
        <w:spacing w:after="120"/>
        <w:jc w:val="both"/>
        <w:rPr>
          <w:i/>
        </w:rPr>
      </w:pPr>
      <w:r w:rsidRPr="001C381A">
        <w:rPr>
          <w:b/>
          <w:i/>
          <w:u w:val="single"/>
        </w:rPr>
        <w:t>Proposal</w:t>
      </w:r>
      <w:r>
        <w:rPr>
          <w:b/>
          <w:i/>
          <w:u w:val="single"/>
        </w:rPr>
        <w:t xml:space="preserve"> 7</w:t>
      </w:r>
      <w:r w:rsidRPr="001C381A">
        <w:rPr>
          <w:b/>
          <w:i/>
          <w:u w:val="single"/>
        </w:rPr>
        <w:t>:</w:t>
      </w:r>
      <w:r w:rsidRPr="001C381A">
        <w:rPr>
          <w:i/>
        </w:rPr>
        <w:t xml:space="preserve"> </w:t>
      </w:r>
      <w:r w:rsidRPr="00663C77">
        <w:rPr>
          <w:i/>
        </w:rPr>
        <w:t>For implicit mechanism for PSFCH resource determination, support FDM between PSFCH resources used for HARQ feedback of PSSCH transmissions with same starting sub-channel in different slots.</w:t>
      </w:r>
    </w:p>
    <w:p w14:paraId="7B2D3242" w14:textId="1A9C03EB" w:rsidR="002F66F6" w:rsidRDefault="002F66F6" w:rsidP="002F66F6">
      <w:pPr>
        <w:spacing w:after="120"/>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sidRPr="00663C77">
        <w:rPr>
          <w:i/>
        </w:rPr>
        <w:t xml:space="preserve">For implicit mechanism for PSFCH resource determination, do not support CDM between PSFCH resources used for HARQ feedback of PSSCH transmissions, except </w:t>
      </w:r>
      <w:r>
        <w:rPr>
          <w:i/>
        </w:rPr>
        <w:t>for</w:t>
      </w:r>
      <w:r w:rsidRPr="00663C77">
        <w:rPr>
          <w:i/>
        </w:rPr>
        <w:t xml:space="preserve"> groupcast HARQ feedback </w:t>
      </w:r>
      <w:r w:rsidR="00CA581E">
        <w:rPr>
          <w:i/>
        </w:rPr>
        <w:t>O</w:t>
      </w:r>
      <w:r w:rsidRPr="00663C77">
        <w:rPr>
          <w:i/>
        </w:rPr>
        <w:t>ption 2.</w:t>
      </w:r>
    </w:p>
    <w:p w14:paraId="6D905499" w14:textId="77777777" w:rsidR="005A57E6" w:rsidRDefault="005A57E6" w:rsidP="005A57E6">
      <w:pPr>
        <w:spacing w:after="120"/>
        <w:jc w:val="both"/>
        <w:rPr>
          <w:i/>
        </w:rPr>
      </w:pPr>
      <w:r w:rsidRPr="001C381A">
        <w:rPr>
          <w:b/>
          <w:i/>
          <w:u w:val="single"/>
        </w:rPr>
        <w:t xml:space="preserve">Proposal </w:t>
      </w:r>
      <w:r>
        <w:rPr>
          <w:b/>
          <w:i/>
          <w:u w:val="single"/>
        </w:rPr>
        <w:t>9</w:t>
      </w:r>
      <w:r w:rsidRPr="001C381A">
        <w:rPr>
          <w:b/>
          <w:i/>
          <w:u w:val="single"/>
        </w:rPr>
        <w:t>:</w:t>
      </w:r>
      <w:r w:rsidRPr="001C381A">
        <w:rPr>
          <w:i/>
        </w:rPr>
        <w:t xml:space="preserve"> </w:t>
      </w:r>
      <w:r w:rsidRPr="00663C77">
        <w:rPr>
          <w:i/>
        </w:rPr>
        <w:t xml:space="preserve">Support to dynamically disable HARQ feedback </w:t>
      </w:r>
      <w:r>
        <w:rPr>
          <w:i/>
        </w:rPr>
        <w:t xml:space="preserve">based on channel congestion or data QoS, </w:t>
      </w:r>
      <w:r w:rsidRPr="00663C77">
        <w:rPr>
          <w:i/>
        </w:rPr>
        <w:t>when HARQ feedback is enabled by configuration.</w:t>
      </w:r>
    </w:p>
    <w:p w14:paraId="3848B24F" w14:textId="77777777" w:rsidR="002F66F6" w:rsidRDefault="002F66F6" w:rsidP="005A57E6">
      <w:pPr>
        <w:spacing w:after="120"/>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sidRPr="00663C77">
        <w:rPr>
          <w:i/>
        </w:rPr>
        <w:t xml:space="preserve">SCI indicates the presence of </w:t>
      </w:r>
      <w:r>
        <w:rPr>
          <w:i/>
        </w:rPr>
        <w:t>CSI-</w:t>
      </w:r>
      <w:r w:rsidRPr="00663C77">
        <w:rPr>
          <w:i/>
        </w:rPr>
        <w:t>RS</w:t>
      </w:r>
      <w:r>
        <w:rPr>
          <w:i/>
        </w:rPr>
        <w:t xml:space="preserve"> in the associated PSSCH</w:t>
      </w:r>
      <w:r w:rsidRPr="00663C77">
        <w:rPr>
          <w:i/>
        </w:rPr>
        <w:t xml:space="preserve"> for CSI measurement</w:t>
      </w:r>
      <w:r>
        <w:rPr>
          <w:i/>
        </w:rPr>
        <w:t>. FFS whether sidelink CSI-RS resource is indicated in SCI.</w:t>
      </w:r>
    </w:p>
    <w:p w14:paraId="5A830DC9" w14:textId="77777777" w:rsidR="002F66F6" w:rsidRDefault="002F66F6" w:rsidP="002F66F6">
      <w:pPr>
        <w:spacing w:after="120"/>
        <w:rPr>
          <w:i/>
        </w:rPr>
      </w:pPr>
      <w:r w:rsidRPr="001C381A">
        <w:rPr>
          <w:b/>
          <w:i/>
          <w:u w:val="single"/>
        </w:rPr>
        <w:t xml:space="preserve">Proposal </w:t>
      </w:r>
      <w:r>
        <w:rPr>
          <w:b/>
          <w:i/>
          <w:u w:val="single"/>
        </w:rPr>
        <w:t>11</w:t>
      </w:r>
      <w:r w:rsidRPr="001C381A">
        <w:rPr>
          <w:b/>
          <w:i/>
          <w:u w:val="single"/>
        </w:rPr>
        <w:t>:</w:t>
      </w:r>
      <w:r w:rsidRPr="001C381A">
        <w:rPr>
          <w:i/>
        </w:rPr>
        <w:t xml:space="preserve"> </w:t>
      </w:r>
      <w:r w:rsidRPr="00F0142B">
        <w:rPr>
          <w:i/>
        </w:rPr>
        <w:t>SCI indicates the presence of CSI reporting in the PSSCH resources</w:t>
      </w:r>
      <w:r>
        <w:rPr>
          <w:i/>
        </w:rPr>
        <w:t>.</w:t>
      </w:r>
    </w:p>
    <w:p w14:paraId="024961B2" w14:textId="77777777" w:rsidR="002F66F6" w:rsidRDefault="002F66F6" w:rsidP="002F66F6">
      <w:pPr>
        <w:spacing w:after="120"/>
        <w:jc w:val="both"/>
        <w:rPr>
          <w:i/>
        </w:rPr>
      </w:pPr>
      <w:r w:rsidRPr="001C381A">
        <w:rPr>
          <w:b/>
          <w:i/>
          <w:u w:val="single"/>
        </w:rPr>
        <w:t xml:space="preserve">Proposal </w:t>
      </w:r>
      <w:r>
        <w:rPr>
          <w:b/>
          <w:i/>
          <w:u w:val="single"/>
        </w:rPr>
        <w:t>12</w:t>
      </w:r>
      <w:r w:rsidRPr="001C381A">
        <w:rPr>
          <w:b/>
          <w:i/>
          <w:u w:val="single"/>
        </w:rPr>
        <w:t>:</w:t>
      </w:r>
      <w:r w:rsidRPr="001C381A">
        <w:rPr>
          <w:i/>
        </w:rPr>
        <w:t xml:space="preserve"> </w:t>
      </w:r>
      <w:r>
        <w:rPr>
          <w:i/>
        </w:rPr>
        <w:t xml:space="preserve">Sidelink </w:t>
      </w:r>
      <w:r w:rsidRPr="00F0142B">
        <w:rPr>
          <w:i/>
        </w:rPr>
        <w:t>TBS determination should consider PSCCH/PSSCH multiplexing and</w:t>
      </w:r>
      <w:r>
        <w:rPr>
          <w:i/>
        </w:rPr>
        <w:t xml:space="preserve"> the overheads from SCI stage 2, GAP symbol, AGC symbol and </w:t>
      </w:r>
      <w:r w:rsidRPr="00F0142B">
        <w:rPr>
          <w:i/>
        </w:rPr>
        <w:t>PSFCH</w:t>
      </w:r>
      <w:r>
        <w:rPr>
          <w:i/>
        </w:rPr>
        <w:t>.</w:t>
      </w:r>
    </w:p>
    <w:p w14:paraId="05295559" w14:textId="0D36B523" w:rsidR="002F66F6" w:rsidRPr="00FC24DA" w:rsidRDefault="002F66F6" w:rsidP="002F66F6">
      <w:pPr>
        <w:spacing w:after="120"/>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T</w:t>
      </w:r>
      <w:r w:rsidRPr="00F0142B">
        <w:rPr>
          <w:i/>
        </w:rPr>
        <w:t>he TBS mismatch from initial transmission and blind retransmission</w:t>
      </w:r>
      <w:r>
        <w:rPr>
          <w:i/>
        </w:rPr>
        <w:t>(s)</w:t>
      </w:r>
      <w:r w:rsidRPr="00F0142B">
        <w:rPr>
          <w:i/>
        </w:rPr>
        <w:t xml:space="preserve"> should be addressed</w:t>
      </w:r>
      <w:r>
        <w:rPr>
          <w:i/>
        </w:rPr>
        <w:t xml:space="preserve"> when</w:t>
      </w:r>
      <w:r w:rsidRPr="00F0142B">
        <w:rPr>
          <w:i/>
        </w:rPr>
        <w:t xml:space="preserve"> determining LDPC base graph for PSSCH.</w:t>
      </w:r>
      <w:r>
        <w:rPr>
          <w:i/>
        </w:rPr>
        <w:t xml:space="preserve"> Consider introducing a virtual TBS in selecting LDPC base graph for PSSCH. </w:t>
      </w:r>
    </w:p>
    <w:p w14:paraId="654728D3" w14:textId="5876BA30" w:rsidR="00AF0B91" w:rsidRPr="002F66F6" w:rsidRDefault="00AF0B91" w:rsidP="006E5220">
      <w:pPr>
        <w:spacing w:after="120"/>
        <w:jc w:val="both"/>
        <w:rPr>
          <w:i/>
        </w:rPr>
      </w:pPr>
    </w:p>
    <w:p w14:paraId="0C633385" w14:textId="77777777" w:rsidR="00D8146E" w:rsidRPr="00A6576F" w:rsidRDefault="00D8146E" w:rsidP="000A1967">
      <w:pPr>
        <w:rPr>
          <w:rFonts w:eastAsia="MS Mincho"/>
          <w:sz w:val="22"/>
          <w:szCs w:val="22"/>
          <w:lang w:eastAsia="ja-JP"/>
        </w:rPr>
      </w:pPr>
    </w:p>
    <w:p w14:paraId="2E75F001" w14:textId="77777777" w:rsidR="007E70BB" w:rsidRPr="00A6576F" w:rsidRDefault="005C63AE" w:rsidP="007E70BB">
      <w:pPr>
        <w:pStyle w:val="Heading1"/>
      </w:pPr>
      <w:r w:rsidRPr="00A6576F">
        <w:lastRenderedPageBreak/>
        <w:t>References</w:t>
      </w:r>
    </w:p>
    <w:p w14:paraId="467B8D53" w14:textId="3CAC13EA" w:rsidR="00A6576F" w:rsidRPr="001B2D41" w:rsidRDefault="007F1BA7"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1B2D41">
        <w:t>Chairman’s Notes, 3GPP TSG RAN1 WG1 #98 Meeting, Prague, CZ, Aug. 2019.</w:t>
      </w:r>
      <w:bookmarkEnd w:id="1"/>
      <w:bookmarkEnd w:id="2"/>
      <w:r w:rsidRPr="001B2D41">
        <w:t xml:space="preserve"> </w:t>
      </w:r>
    </w:p>
    <w:p w14:paraId="3084DE83" w14:textId="0086B043" w:rsidR="00C375D2" w:rsidRPr="001B2D41" w:rsidRDefault="00C375D2"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574639"/>
      <w:r w:rsidRPr="001B2D41">
        <w:t>Chairman’s Notes, 3GPP TSG RAN1 WG1 #97 Meeting, Reno, USA, May 2019.</w:t>
      </w:r>
      <w:bookmarkEnd w:id="3"/>
    </w:p>
    <w:p w14:paraId="4A24A5B9" w14:textId="2C549623" w:rsidR="002F66F6" w:rsidRPr="001B2D41" w:rsidRDefault="002F66F6"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0857444"/>
      <w:r w:rsidRPr="001B2D41">
        <w:t>3GPP email discussion on PSFCH resource determination, [98-NR-10], Sept. 2019.</w:t>
      </w:r>
      <w:bookmarkEnd w:id="4"/>
    </w:p>
    <w:p w14:paraId="44108A31" w14:textId="3EBEFD87" w:rsidR="002F66F6" w:rsidRPr="001B2D41" w:rsidRDefault="002F66F6"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0863937"/>
      <w:r w:rsidRPr="001B2D41">
        <w:t>Chairman’s Notes, 3GPP TSG RAN1 WG1 Ad-Hic #1901 Meeting, Taipei, Taiwan, Jan. 2019.</w:t>
      </w:r>
      <w:bookmarkEnd w:id="5"/>
      <w:r w:rsidRPr="001B2D41">
        <w:t xml:space="preserve"> </w:t>
      </w:r>
    </w:p>
    <w:p w14:paraId="455C456B" w14:textId="27F32AE8" w:rsidR="002F66F6" w:rsidRPr="001B2D41" w:rsidRDefault="002F66F6"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0899868"/>
      <w:r w:rsidRPr="001B2D41">
        <w:t>RP-190984, Work item description on 5</w:t>
      </w:r>
      <w:r w:rsidRPr="001B2D41">
        <w:rPr>
          <w:sz w:val="28"/>
          <w:szCs w:val="28"/>
        </w:rPr>
        <w:t>G V2X with NR sidelink, Jun 2019.</w:t>
      </w:r>
      <w:bookmarkEnd w:id="6"/>
    </w:p>
    <w:p w14:paraId="7324E2AC" w14:textId="42F90BA1" w:rsidR="00504FE7" w:rsidRPr="001B2D41" w:rsidRDefault="00504FE7"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20748050"/>
      <w:r w:rsidRPr="001B2D41">
        <w:t>Chairman’s Notes, 3GPP TSG RAN1 WG1 #96 Meeting, Athens, Greece, Feb. 2019.</w:t>
      </w:r>
      <w:bookmarkEnd w:id="7"/>
    </w:p>
    <w:p w14:paraId="36E3A1F0" w14:textId="020D7E46" w:rsidR="00071554" w:rsidRDefault="002F66F6"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0738228"/>
      <w:bookmarkStart w:id="9" w:name="_Ref20734350"/>
      <w:r w:rsidRPr="001B2D41">
        <w:t>Chairman’s Notes, 3GPP TSG RAN1 WG1 #96bis Meeting, Xi’an, China, Apr. 2019.</w:t>
      </w:r>
      <w:bookmarkEnd w:id="8"/>
      <w:bookmarkEnd w:id="9"/>
    </w:p>
    <w:p w14:paraId="5AB1F16F" w14:textId="2D3D0C88" w:rsidR="002D0997" w:rsidRPr="003A3B4F" w:rsidRDefault="002D0997"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932605"/>
      <w:r w:rsidRPr="003A3B4F">
        <w:t>R1-19</w:t>
      </w:r>
      <w:r w:rsidR="003A3B4F" w:rsidRPr="003A3B4F">
        <w:t>10960</w:t>
      </w:r>
      <w:r w:rsidRPr="003A3B4F">
        <w:t>, Discussion on NR V2X Physical Layer Structure, Apple, Oct. 2019.</w:t>
      </w:r>
      <w:bookmarkEnd w:id="10"/>
    </w:p>
    <w:sectPr w:rsidR="002D0997" w:rsidRPr="003A3B4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D2FB3" w14:textId="77777777" w:rsidR="006B66C8" w:rsidRDefault="006B66C8">
      <w:r>
        <w:separator/>
      </w:r>
    </w:p>
  </w:endnote>
  <w:endnote w:type="continuationSeparator" w:id="0">
    <w:p w14:paraId="2E813C0E" w14:textId="77777777" w:rsidR="006B66C8" w:rsidRDefault="006B66C8">
      <w:r>
        <w:continuationSeparator/>
      </w:r>
    </w:p>
  </w:endnote>
  <w:endnote w:type="continuationNotice" w:id="1">
    <w:p w14:paraId="54F5C24F" w14:textId="77777777" w:rsidR="006B66C8" w:rsidRDefault="006B6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notTrueType/>
    <w:pitch w:val="variable"/>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3E1664" w:rsidRDefault="003E16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ADDC2" w14:textId="77777777" w:rsidR="006B66C8" w:rsidRDefault="006B66C8">
      <w:r>
        <w:separator/>
      </w:r>
    </w:p>
  </w:footnote>
  <w:footnote w:type="continuationSeparator" w:id="0">
    <w:p w14:paraId="588C6C02" w14:textId="77777777" w:rsidR="006B66C8" w:rsidRDefault="006B66C8">
      <w:r>
        <w:continuationSeparator/>
      </w:r>
    </w:p>
  </w:footnote>
  <w:footnote w:type="continuationNotice" w:id="1">
    <w:p w14:paraId="2C0AFE00" w14:textId="77777777" w:rsidR="006B66C8" w:rsidRDefault="006B6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2"/>
  </w:num>
  <w:num w:numId="7">
    <w:abstractNumId w:val="18"/>
  </w:num>
  <w:num w:numId="8">
    <w:abstractNumId w:val="8"/>
  </w:num>
  <w:num w:numId="9">
    <w:abstractNumId w:val="16"/>
  </w:num>
  <w:num w:numId="10">
    <w:abstractNumId w:val="0"/>
  </w:num>
  <w:num w:numId="11">
    <w:abstractNumId w:val="22"/>
  </w:num>
  <w:num w:numId="12">
    <w:abstractNumId w:val="3"/>
  </w:num>
  <w:num w:numId="13">
    <w:abstractNumId w:val="17"/>
  </w:num>
  <w:num w:numId="14">
    <w:abstractNumId w:val="11"/>
  </w:num>
  <w:num w:numId="15">
    <w:abstractNumId w:val="24"/>
  </w:num>
  <w:num w:numId="16">
    <w:abstractNumId w:val="27"/>
  </w:num>
  <w:num w:numId="17">
    <w:abstractNumId w:val="6"/>
  </w:num>
  <w:num w:numId="18">
    <w:abstractNumId w:val="20"/>
  </w:num>
  <w:num w:numId="19">
    <w:abstractNumId w:val="4"/>
  </w:num>
  <w:num w:numId="20">
    <w:abstractNumId w:val="21"/>
  </w:num>
  <w:num w:numId="21">
    <w:abstractNumId w:val="25"/>
  </w:num>
  <w:num w:numId="22">
    <w:abstractNumId w:val="15"/>
  </w:num>
  <w:num w:numId="23">
    <w:abstractNumId w:val="23"/>
  </w:num>
  <w:num w:numId="24">
    <w:abstractNumId w:val="19"/>
  </w:num>
  <w:num w:numId="25">
    <w:abstractNumId w:val="26"/>
  </w:num>
  <w:num w:numId="26">
    <w:abstractNumId w:val="5"/>
  </w:num>
  <w:num w:numId="27">
    <w:abstractNumId w:val="2"/>
  </w:num>
  <w:num w:numId="2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26E"/>
    <w:rsid w:val="005556E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57E6"/>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72E7"/>
    <w:rsid w:val="005E755A"/>
    <w:rsid w:val="005E786E"/>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66C8"/>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29C2"/>
    <w:rsid w:val="00943742"/>
    <w:rsid w:val="00943820"/>
    <w:rsid w:val="00943A7D"/>
    <w:rsid w:val="00943CC2"/>
    <w:rsid w:val="00943D22"/>
    <w:rsid w:val="00943F86"/>
    <w:rsid w:val="00944231"/>
    <w:rsid w:val="00944BC4"/>
    <w:rsid w:val="00945497"/>
    <w:rsid w:val="009455FC"/>
    <w:rsid w:val="00945A1C"/>
    <w:rsid w:val="00945C05"/>
    <w:rsid w:val="00945C1F"/>
    <w:rsid w:val="009460AC"/>
    <w:rsid w:val="00946676"/>
    <w:rsid w:val="00946945"/>
    <w:rsid w:val="009469F8"/>
    <w:rsid w:val="00946A96"/>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0FB"/>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07"/>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74A52-B574-BB45-9314-2A37AF5E2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424</TotalTime>
  <Pages>7</Pages>
  <Words>3019</Words>
  <Characters>15767</Characters>
  <Application>Microsoft Office Word</Application>
  <DocSecurity>0</DocSecurity>
  <Lines>294</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26</cp:revision>
  <cp:lastPrinted>2008-01-31T16:09:00Z</cp:lastPrinted>
  <dcterms:created xsi:type="dcterms:W3CDTF">2019-10-01T23:19:00Z</dcterms:created>
  <dcterms:modified xsi:type="dcterms:W3CDTF">2019-10-04T21:46:00Z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